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/>
        </w:rPr>
      </w:pPr>
      <w:bookmarkStart w:id="3" w:name="_GoBack"/>
      <w:bookmarkStart w:id="0" w:name="_Toc14847"/>
      <w:bookmarkStart w:id="1" w:name="_Toc20955"/>
      <w:bookmarkStart w:id="2" w:name="_Toc16865"/>
      <w:r>
        <w:rPr>
          <w:rFonts w:hint="eastAsia" w:ascii="Times New Roman" w:hAnsi="Times New Roman"/>
        </w:rPr>
        <w:t>2021级应用统计学本科专业培养方案</w:t>
      </w:r>
      <w:bookmarkEnd w:id="0"/>
      <w:bookmarkEnd w:id="1"/>
      <w:bookmarkEnd w:id="2"/>
    </w:p>
    <w:bookmarkEnd w:id="3"/>
    <w:p>
      <w:pPr>
        <w:spacing w:line="520" w:lineRule="exact"/>
        <w:rPr>
          <w:rFonts w:ascii="Times New Roman" w:hAnsi="Times New Roman" w:eastAsia="仿宋_GB2312" w:cs="仿宋_GB2312"/>
          <w:b/>
          <w:sz w:val="32"/>
          <w:szCs w:val="32"/>
        </w:rPr>
      </w:pPr>
    </w:p>
    <w:p>
      <w:pPr>
        <w:spacing w:line="520" w:lineRule="exact"/>
        <w:ind w:firstLine="316" w:firstLineChar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专业名称：应用统计学      专业代码：071202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所属学科门类：理学        授予学位：理学学士</w:t>
      </w:r>
    </w:p>
    <w:p>
      <w:pPr>
        <w:spacing w:line="520" w:lineRule="exact"/>
        <w:ind w:left="4737" w:leftChars="152" w:hanging="4424" w:hangingChars="14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 xml:space="preserve">学制：四年              </w:t>
      </w:r>
      <w:r>
        <w:rPr>
          <w:rFonts w:hint="eastAsia" w:ascii="Times New Roman" w:hAnsi="Times New Roman" w:eastAsia="仿宋_GB2312"/>
          <w:b/>
          <w:bCs/>
          <w:spacing w:val="-28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/>
          <w:bCs/>
          <w:spacing w:val="-28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所属学院：数学与数据科学学院</w:t>
      </w:r>
    </w:p>
    <w:p>
      <w:pPr>
        <w:spacing w:line="520" w:lineRule="exact"/>
        <w:ind w:left="4696" w:leftChars="2280" w:firstLine="1264" w:firstLineChars="4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（软件学院）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毕业最低总学分：158学分  总学时： 2138学时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专业负责人：袁裕泽        学院负责人：赖军将</w:t>
      </w:r>
    </w:p>
    <w:p>
      <w:pPr>
        <w:spacing w:line="420" w:lineRule="exact"/>
        <w:ind w:left="98" w:firstLine="406"/>
        <w:rPr>
          <w:rFonts w:ascii="Times New Roman" w:hAnsi="Times New Roman" w:eastAsia="仿宋_GB2312" w:cs="仿宋_GB2312"/>
          <w:sz w:val="28"/>
          <w:szCs w:val="28"/>
        </w:rPr>
      </w:pPr>
    </w:p>
    <w:p>
      <w:pPr>
        <w:spacing w:line="420" w:lineRule="exact"/>
        <w:ind w:firstLine="632" w:firstLineChars="200"/>
        <w:rPr>
          <w:rFonts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一、培养目标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坚持德育为先，培养知识、能力、素质全面发展，掌握统计学的基本思想、基本理论和方法以及相关的数学、计算机和经济学的基础知识，能够应用统计学方法，通过计算机和统计软件在经济金融、工农业生产、交通运输等相关领域进行数据分析和挖掘，在金融、投资、电子商务、互联网+行业、大型商业、高端制造业和政府部门从事统计调查、信息管理、数据分析、数据挖掘等应用和研究工作，或在相关领域从事教学科研工作，具有创新创业精神和能力的应用型人才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本专业对所培养的学生在毕业五年左右的目标预期是：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目标1：能够贯彻落实习近平新时代中国特色社会主义思想，践行社会主义核心价值观,具有较高的政治素质，具有较高的文化素养和职业道德素质。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目标2：具有数学、经济学和计算机的基础知识，掌握统计学的主要理论和方法，具有系统思维、数学思维、统计思维、计算思维、大数据思维，富有批判精神、创新精神。  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目标3：能够运用所学知识、技术、能力与素质等，去分析和解决经济等相关领域的实际问题；能够从事统计调查、信息管理、数据分析、数据挖掘等工作，成为相关领域的统计分析或大数据分析人才；能够攻读本专业及相关专业的硕士/博士学位，从事相关研究工作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目标4：具有较强的沟通交流能力及团队合作精神，良好的社会适应能力、实践能力和应用创新能力；具有自主学习能力、终身学习习惯和可持续发展的专业发展意识。</w:t>
      </w:r>
    </w:p>
    <w:p>
      <w:pPr>
        <w:spacing w:line="420" w:lineRule="exact"/>
        <w:ind w:firstLine="632" w:firstLineChars="200"/>
        <w:rPr>
          <w:rFonts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二、毕业要求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通过专业学习，毕业生应获得以下几个方面的知识、能力和素质: 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1.热爱祖国，拥护中国共产党的领导，努力学习，积极践行社会主义核心价值观,具有较高的政治素质。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2.系统掌握通识教育及统计学科专业知识，了解学科发展前沿，并能够将所学知识用于解释本专业领域现象。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3.能够应用本学科基本原理、方法对本专业领域问题进行判断、分析和研究，得出独立结论，提出相应对策和建议。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4.能够恰当使用现代工具对本专业领域信息资料进行收集和分析处理，完成专业任务。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5.能够使用书面、口头、网络语言等表达方式与业界同行、社会公众就本专业领域现象和问题进行有效沟通与交流，具有国际视野，在跨文化背景下具备一定的沟通交流能力。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6.具有团队协作意识，能够在本学科及多学科团队活动中发挥个人作用，并能与其他成员合作共事。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7.具有创新精神和终身学习意识，有创新创业能力、实践能力及自主学习与适应发展的能力。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8.具有人文素养、科学精神和社会责任感，熟悉本专业领域法律、法规及相关政策，能够理解并遵守社会公德、职业道德和职业规范。达到国家规定的大学生体质健康标准，具有健康的体魄和良好的心理素质。</w:t>
      </w:r>
    </w:p>
    <w:p>
      <w:pPr>
        <w:ind w:firstLine="632" w:firstLineChars="20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三、“培养目标—毕业要求”和“毕业要求—课程体系”支撑矩阵</w:t>
      </w:r>
    </w:p>
    <w:p>
      <w:pPr>
        <w:jc w:val="center"/>
        <w:rPr>
          <w:rFonts w:ascii="Times New Roman" w:hAnsi="Times New Roman" w:eastAsia="仿宋_GB2312" w:cs="楷体"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kern w:val="0"/>
          <w:sz w:val="28"/>
          <w:szCs w:val="28"/>
        </w:rPr>
        <w:t>表3-1  专业毕业要求对培养目标的支撑矩阵</w:t>
      </w:r>
    </w:p>
    <w:tbl>
      <w:tblPr>
        <w:tblStyle w:val="8"/>
        <w:tblW w:w="8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28"/>
        <w:gridCol w:w="1701"/>
        <w:gridCol w:w="1843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目标  </w:t>
            </w:r>
          </w:p>
          <w:p>
            <w:pPr>
              <w:spacing w:line="36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要求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培养目标1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培养目标2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培养目标3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培养目标4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毕业要求8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√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_GB2312" w:cs="仿宋_GB2312"/>
          <w:sz w:val="24"/>
          <w:szCs w:val="32"/>
        </w:rPr>
        <w:sectPr>
          <w:pgSz w:w="11906" w:h="16838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AndChars" w:linePitch="579" w:charSpace="-849"/>
        </w:sectPr>
      </w:pPr>
    </w:p>
    <w:p>
      <w:pPr>
        <w:spacing w:line="360" w:lineRule="auto"/>
        <w:jc w:val="center"/>
        <w:rPr>
          <w:rFonts w:ascii="Times New Roman" w:hAnsi="Times New Roman" w:eastAsia="仿宋_GB2312" w:cs="仿宋_GB2312"/>
          <w:b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sz w:val="28"/>
          <w:szCs w:val="28"/>
        </w:rPr>
        <w:t>3-2  专业课程体系对毕业要求的支撑矩阵</w:t>
      </w:r>
    </w:p>
    <w:tbl>
      <w:tblPr>
        <w:tblStyle w:val="8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1247"/>
        <w:gridCol w:w="1249"/>
        <w:gridCol w:w="1247"/>
        <w:gridCol w:w="1249"/>
        <w:gridCol w:w="1247"/>
        <w:gridCol w:w="1249"/>
        <w:gridCol w:w="1247"/>
        <w:gridCol w:w="1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毕业要求     </w:t>
            </w:r>
          </w:p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课程名称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要求8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思想道德与法治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中国近现代史纲要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马克思主义基本原理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形势与政策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大学英语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大学体育教学俱乐部系列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军事理论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Office高级应用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大学生职业生涯规划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创新思维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创业实践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就业指导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全校性公共选修课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数学分析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B1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数学分析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B2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高等代数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B1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高等代数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B2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应用统计学导论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程序设计基础（Python）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概率论与数理统计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应用多元统计分析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应用时间序列分析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应用回归分析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*★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抽样调查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数据库技术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★*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统计建模与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R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软件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★*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Python与数据分析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*数据挖掘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微观经济学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*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量化投资技术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宏观经济学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★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统计预测与决策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大数据技术基础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Linux系统应用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*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数据挖掘案例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数据科学算法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会计学原理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保险学原理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离散数学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算法与数据结构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数值分析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数学分析选讲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高等代数选讲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数学建模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机器学习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寿险精算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面向对象程序设计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统计计算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Spark与大数据技术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风险理论与非寿险精算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*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证券投资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运筹与优化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数据可视化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*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数据分析案例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神经网络与深度学习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金融工程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专业英语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统计质量管理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军事技能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毛泽东思想和中国特色社会主义理论体系概论实践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数据挖掘竞赛训练1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数据挖掘竞赛训练2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科研训练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劳动教育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毕业实习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毕业论文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</w:tbl>
    <w:p>
      <w:pPr>
        <w:tabs>
          <w:tab w:val="left" w:pos="1080"/>
          <w:tab w:val="left" w:pos="1668"/>
        </w:tabs>
        <w:spacing w:line="520" w:lineRule="exact"/>
        <w:ind w:firstLine="632" w:firstLineChars="200"/>
        <w:rPr>
          <w:rFonts w:ascii="Times New Roman" w:hAnsi="Times New Roman" w:eastAsia="黑体" w:cs="黑体"/>
          <w:bCs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AndChars" w:linePitch="579" w:charSpace="-849"/>
        </w:sectPr>
      </w:pPr>
    </w:p>
    <w:p>
      <w:pPr>
        <w:tabs>
          <w:tab w:val="left" w:pos="1080"/>
          <w:tab w:val="left" w:pos="1668"/>
        </w:tabs>
        <w:spacing w:line="52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四、学制和学位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学制：四年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学位：理学学</w:t>
      </w:r>
      <w:r>
        <w:rPr>
          <w:rFonts w:hint="eastAsia" w:ascii="Times New Roman" w:hAnsi="Times New Roman" w:cs="仿宋_GB2312"/>
          <w:sz w:val="32"/>
          <w:szCs w:val="32"/>
        </w:rPr>
        <w:t>士</w:t>
      </w:r>
    </w:p>
    <w:p>
      <w:pPr>
        <w:tabs>
          <w:tab w:val="left" w:pos="1080"/>
          <w:tab w:val="left" w:pos="1668"/>
        </w:tabs>
        <w:spacing w:line="52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五、主干学科和核心课程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主干学科：统计学、数学、计算机科学与技术。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核心课程：数学分析、高等代数、程序设计基础（Python）、概率论与数理统计、应用多元统计分析、应用时间序列分析、应用回归分析、抽样调查、数据库技术、统计建模与R软件、Python与数据分析、数据挖掘、微观经济学、宏观经济学、统计预测与决策。</w:t>
      </w:r>
    </w:p>
    <w:p>
      <w:pPr>
        <w:tabs>
          <w:tab w:val="left" w:pos="1080"/>
          <w:tab w:val="left" w:pos="1668"/>
        </w:tabs>
        <w:spacing w:line="52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六、主要实践性教学环节/主要专业实验</w:t>
      </w:r>
    </w:p>
    <w:p>
      <w:pPr>
        <w:tabs>
          <w:tab w:val="left" w:pos="1080"/>
        </w:tabs>
        <w:spacing w:line="52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主要实践性教学环节：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军事技能（2学分）、毛泽东思想和中国特色社会主义理论体系概论实践（2学分）、数据挖掘竞赛训练（1学分）、毕业实习（8学分）、科研训练（1学分）、毕业论文（7学分）、第二课堂教育教学（7学分）等。</w:t>
      </w:r>
    </w:p>
    <w:p>
      <w:pPr>
        <w:tabs>
          <w:tab w:val="left" w:pos="1080"/>
        </w:tabs>
        <w:spacing w:line="520" w:lineRule="exact"/>
        <w:ind w:firstLine="643" w:firstLineChars="2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主要专业实验：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程序设计基础（Python）（32学时）、数据库技术（20学时）、统计建模与R软件（16学时）、应用回归分析（12学时）、应用多元统计分析（12学时）、python与数据分析（16学时）、数据挖掘（22学时）、大数据技术基础（16学时）、Linux系统应用（16学时）、量化技术投资（16学时）、应用时间序列分析（16学时）等。</w:t>
      </w:r>
    </w:p>
    <w:p>
      <w:pPr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br w:type="page"/>
      </w:r>
    </w:p>
    <w:p>
      <w:pPr>
        <w:tabs>
          <w:tab w:val="left" w:pos="1080"/>
        </w:tabs>
        <w:spacing w:line="52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七、课程设置、结构比例与说明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1.理论教学</w:t>
      </w:r>
    </w:p>
    <w:tbl>
      <w:tblPr>
        <w:tblStyle w:val="8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421"/>
        <w:gridCol w:w="1440"/>
        <w:gridCol w:w="162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课程类别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占总学分比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占总学时比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课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通识课程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（公共基础课）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5%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596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27.9%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学科（专业）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基础课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13.9%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362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0%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298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课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11.4%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294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通识课程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（全校性公共课）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5.1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63.9%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  <w:r>
              <w:rPr>
                <w:rFonts w:ascii="Times New Roman" w:hAnsi="Times New Roman" w:eastAsia="仿宋_GB2312" w:cs="仿宋_GB2312"/>
                <w:sz w:val="24"/>
              </w:rPr>
              <w:t>70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78.</w:t>
            </w:r>
            <w:r>
              <w:rPr>
                <w:rFonts w:ascii="Times New Roman" w:hAnsi="Times New Roman" w:eastAsia="仿宋_GB2312" w:cs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%</w:t>
            </w:r>
          </w:p>
        </w:tc>
      </w:tr>
    </w:tbl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2.实践教学</w:t>
      </w:r>
    </w:p>
    <w:tbl>
      <w:tblPr>
        <w:tblStyle w:val="8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469"/>
        <w:gridCol w:w="2063"/>
        <w:gridCol w:w="750"/>
        <w:gridCol w:w="731"/>
        <w:gridCol w:w="1031"/>
        <w:gridCol w:w="713"/>
        <w:gridCol w:w="750"/>
        <w:gridCol w:w="768"/>
        <w:gridCol w:w="75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0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课程类别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学时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学分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占总学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分比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24"/>
              </w:rPr>
              <w:t>其中课内实训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其中实验教学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0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学分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占总学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实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教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</w:t>
            </w: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修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通识课程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（公共基础课）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94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3.1%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学科（专业）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基础课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102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4.4%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专业课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8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5.1%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114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修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专业课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138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9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5.7%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116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7.5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通识课程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（全校性公共课）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集中实践课程教学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30周/3636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13.3%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——  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  <w:jc w:val="center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第二课堂教育教学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468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57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36.1%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186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11.5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282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8"/>
                <w:sz w:val="24"/>
              </w:rPr>
              <w:t>17.5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备注：1.课内实践教学学时=课内实训学时+实验教学学时；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2.课内实践教学学分=课内实训学分+实验教学学分。 </w:t>
            </w:r>
          </w:p>
        </w:tc>
      </w:tr>
    </w:tbl>
    <w:p>
      <w:pPr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3.说明：</w:t>
      </w:r>
    </w:p>
    <w:p>
      <w:pPr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（1）毕业最低学分要求</w:t>
      </w:r>
      <w:r>
        <w:rPr>
          <w:rFonts w:ascii="Times New Roman" w:hAnsi="Times New Roman" w:eastAsia="仿宋_GB2312" w:cs="仿宋_GB2312"/>
          <w:sz w:val="28"/>
          <w:szCs w:val="28"/>
        </w:rPr>
        <w:t>15</w:t>
      </w:r>
      <w:r>
        <w:rPr>
          <w:rFonts w:hint="eastAsia" w:ascii="Times New Roman" w:hAnsi="Times New Roman" w:eastAsia="仿宋_GB2312" w:cs="仿宋_GB2312"/>
          <w:sz w:val="28"/>
          <w:szCs w:val="28"/>
        </w:rPr>
        <w:t>8学分 。</w:t>
      </w:r>
    </w:p>
    <w:p>
      <w:pPr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（2）课内教学中实践（验） 46</w:t>
      </w:r>
      <w:r>
        <w:rPr>
          <w:rFonts w:ascii="Times New Roman" w:hAnsi="Times New Roman" w:eastAsia="仿宋_GB2312" w:cs="仿宋_GB2312"/>
          <w:sz w:val="28"/>
          <w:szCs w:val="28"/>
        </w:rPr>
        <w:t>8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学时，折合29学分；集中实践课程</w:t>
      </w:r>
      <w:r>
        <w:rPr>
          <w:rFonts w:ascii="Times New Roman" w:hAnsi="Times New Roman" w:eastAsia="仿宋_GB2312" w:cs="仿宋_GB2312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sz w:val="28"/>
          <w:szCs w:val="28"/>
        </w:rPr>
        <w:t>1学分 ；第二课堂教育教学7学分；以上合计57学分，占总学分（毕业最低学分）36.1%。</w:t>
      </w:r>
    </w:p>
    <w:p>
      <w:pPr>
        <w:pStyle w:val="4"/>
        <w:ind w:firstLine="640"/>
        <w:rPr>
          <w:rFonts w:ascii="Times New Roman" w:hAnsi="Times New Roman"/>
          <w:bCs w:val="0"/>
          <w:sz w:val="32"/>
        </w:rPr>
      </w:pPr>
      <w:r>
        <w:rPr>
          <w:rFonts w:hint="eastAsia" w:ascii="Times New Roman" w:hAnsi="Times New Roman"/>
          <w:bCs w:val="0"/>
          <w:sz w:val="32"/>
        </w:rPr>
        <w:t xml:space="preserve">八、课堂教学计划表 </w:t>
      </w:r>
    </w:p>
    <w:tbl>
      <w:tblPr>
        <w:tblStyle w:val="8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334"/>
        <w:gridCol w:w="810"/>
        <w:gridCol w:w="15"/>
        <w:gridCol w:w="2214"/>
        <w:gridCol w:w="408"/>
        <w:gridCol w:w="510"/>
        <w:gridCol w:w="466"/>
        <w:gridCol w:w="574"/>
        <w:gridCol w:w="338"/>
        <w:gridCol w:w="373"/>
        <w:gridCol w:w="373"/>
        <w:gridCol w:w="373"/>
        <w:gridCol w:w="373"/>
        <w:gridCol w:w="373"/>
        <w:gridCol w:w="322"/>
        <w:gridCol w:w="364"/>
        <w:gridCol w:w="291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课程    类别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课程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代码</w:t>
            </w:r>
          </w:p>
        </w:tc>
        <w:tc>
          <w:tcPr>
            <w:tcW w:w="22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学分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学时数</w:t>
            </w:r>
          </w:p>
        </w:tc>
        <w:tc>
          <w:tcPr>
            <w:tcW w:w="2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开课学期及周学时安排</w:t>
            </w:r>
          </w:p>
        </w:tc>
        <w:tc>
          <w:tcPr>
            <w:tcW w:w="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开课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总计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讲授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（验）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w w:val="92"/>
                <w:kern w:val="0"/>
                <w:sz w:val="18"/>
                <w:szCs w:val="18"/>
              </w:rPr>
              <w:t>第一学年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w w:val="95"/>
                <w:kern w:val="0"/>
                <w:sz w:val="18"/>
                <w:szCs w:val="18"/>
              </w:rPr>
              <w:t>第二学年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w w:val="95"/>
                <w:kern w:val="0"/>
                <w:sz w:val="18"/>
                <w:szCs w:val="18"/>
              </w:rPr>
              <w:t>第三学年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w w:val="95"/>
                <w:kern w:val="0"/>
                <w:sz w:val="18"/>
                <w:szCs w:val="18"/>
              </w:rPr>
              <w:t>第四学年</w:t>
            </w:r>
          </w:p>
        </w:tc>
        <w:tc>
          <w:tcPr>
            <w:tcW w:w="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 xml:space="preserve">通识课程 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公共基础课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︶</w:t>
            </w: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必修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11620050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思想道德与法治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Ideological Morality and Rule of Law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11620010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Outline of Modern Chinese History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11620040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马克思主义基本原理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The Basic Principles of Marxism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11620020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Introduction to Mao Zedong Thought and the Theoretical System of Socialism with Chinese Characteristics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11030050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形势与政策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Situation and Policy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11020081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1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2+1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11020082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2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2+1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11020083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大学英语3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3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2+1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11020084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大学英语4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4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2+1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11620060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Theory of Military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11270130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Office高级应用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Office Advanced Application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(20)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2+1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计控学院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（20）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11600011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大学生职业生涯规划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Undergraduate Students Career Planning 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11600022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创新思维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Innovative Thinking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11600031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创业实践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Entrepreneurship Practice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11600042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就业指导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Employment Guidance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通识课程（公共必修课）合计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684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594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94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选修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全校性公共选修课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  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13" w:leftChars="54" w:right="113" w:firstLine="684" w:firstLineChars="398"/>
              <w:jc w:val="center"/>
              <w:rPr>
                <w:rFonts w:ascii="Times New Roman" w:hAnsi="Times New Roman" w:eastAsia="仿宋_GB2312" w:cs="仿宋_GB2312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kern w:val="0"/>
                <w:sz w:val="18"/>
                <w:szCs w:val="18"/>
              </w:rPr>
              <w:t>学科（专业）基础课程</w:t>
            </w: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必修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21250401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★数学分析B1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Mathematical Analysis B1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21250332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★数学分析B2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Mathematical Analysis B2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96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78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21250381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★高等代数B1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Higher Algebra B1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21250382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★高等代数B2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Higher Algebra B2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21250310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应用统计学导论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Introduction to Applied Statistics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21250410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★程序设计基础（Python）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Python Programming Foundation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4+2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21090170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★概率论与数理统计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Theory of Probability and Mathematical Statistics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96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464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362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102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专业课程</w:t>
            </w: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必修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31250960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★应用多元统计分析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Applied Multivariate Statistical Analysis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31251000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★应用时间序列分析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Applied Time Series Analysis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31251010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★应用回归分析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Apply Regression Analysis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31250970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*★抽样调查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Sampling Survey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12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31090720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★数据库技术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Database Technology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31090030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★*统计建模与R软件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Statistical Modeling and R Software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31090020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★*Python与数据分析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Python and Data Analysis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31090240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★*数据挖掘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Data Mining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31251030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★微观经济学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Microeconomics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27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298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134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限选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经济金融应用模块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33091150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*量化投资技术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Quantitative investment Technology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33251290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★宏观经济学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Macroeconomics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33251210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★统计预测与决策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Statistical Forecasting and Decision-Making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数据挖掘模块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33251355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大数据技术基础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Large Data Technology Foundation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33090090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Linux系统应用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Linux System Application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33091170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*数据挖掘案例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Data Mining Case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144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96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任选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34251630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数据科学算法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Data Science Algorithm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34251450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会计学原理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Principle of Accounting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34251460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保险学原理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Principle of Insurance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34251640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离散数学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Discrete Mathematics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34251650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算法与数据结构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Algorithm and Data Structures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34251660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数值分析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Numerical Analysis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34251670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数学建模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Mathematics Modeling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(6)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机器学习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Machine Learning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(8)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34251520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寿险精算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Insurance actuary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34251690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面向对象程序设计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Object-Oriented Programming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34251700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统计计算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Statistical Computing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34251710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Spark与大数据技术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Spark and Big Data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Technology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34251530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风险理论与非寿险精算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Risk Theory and Non-Life Insurance actuary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34251500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*证券投资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Securities Investment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34251730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运筹与优化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Operations Research and Optimization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34251740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数据可视化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Data Visualization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34251570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数学分析选讲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Selection of Mathematical Analysis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06" w:right="-119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-106" w:right="-119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34251580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高等代数选讲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Selection of Higher Algebra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06" w:right="-119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-106" w:right="-119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34251760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神经网络与深度学习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Neural Network and Deep Learning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(12)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34251770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金融工程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Financial Engineering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34090560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专业英语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Specialty English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34251780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统计质量管理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Statistical Quality Management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数科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z w:val="20"/>
                <w:szCs w:val="20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288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198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90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130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2138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1670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468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ind w:hanging="8"/>
        <w:rPr>
          <w:rFonts w:ascii="Times New Roman" w:hAnsi="Times New Roman" w:eastAsia="仿宋_GB2312" w:cs="仿宋_GB2312"/>
          <w:sz w:val="24"/>
        </w:rPr>
      </w:pPr>
    </w:p>
    <w:p>
      <w:pPr>
        <w:spacing w:line="240" w:lineRule="exact"/>
        <w:ind w:hanging="8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备注：</w:t>
      </w:r>
    </w:p>
    <w:p>
      <w:pPr>
        <w:spacing w:line="240" w:lineRule="exact"/>
        <w:ind w:firstLine="480" w:firstLineChars="200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1.考核方式中，1表示考试，2表示考查；实践（验）列中，无括号的表示实训学时数，（）内表示实验学时数。</w:t>
      </w:r>
    </w:p>
    <w:p>
      <w:pPr>
        <w:spacing w:line="240" w:lineRule="exact"/>
        <w:ind w:left="14" w:firstLine="451" w:firstLineChars="188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2.课程名称前加“★”的是专业核心课程，课程名称前加“*”的是专创融合课程。</w:t>
      </w:r>
    </w:p>
    <w:p>
      <w:pPr>
        <w:spacing w:line="240" w:lineRule="exact"/>
        <w:ind w:firstLine="480" w:firstLineChars="200"/>
        <w:rPr>
          <w:rFonts w:ascii="Times New Roman" w:hAnsi="Times New Roman" w:eastAsia="仿宋_GB2312" w:cs="仿宋_GB2312"/>
          <w:b/>
          <w:kern w:val="0"/>
          <w:sz w:val="24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24"/>
          <w:szCs w:val="32"/>
        </w:rPr>
        <w:t>3.学生须修读校选课8学分：其中文理交叉类课程4学分，即、理工类专业学生须修读人文社科类校选课4学分；心理健康教育类校选课2学分；公共艺术类校选课2学分</w:t>
      </w:r>
      <w:r>
        <w:rPr>
          <w:rFonts w:hint="eastAsia" w:ascii="Times New Roman" w:hAnsi="Times New Roman" w:eastAsia="仿宋_GB2312" w:cs="仿宋_GB2312"/>
          <w:bCs/>
          <w:kern w:val="0"/>
          <w:sz w:val="24"/>
          <w:szCs w:val="32"/>
        </w:rPr>
        <w:t>。</w:t>
      </w:r>
    </w:p>
    <w:p>
      <w:pPr>
        <w:pStyle w:val="4"/>
        <w:ind w:firstLine="64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九、集中实践课程教学计划表</w:t>
      </w:r>
    </w:p>
    <w:tbl>
      <w:tblPr>
        <w:tblStyle w:val="8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7"/>
        <w:gridCol w:w="2148"/>
        <w:gridCol w:w="667"/>
        <w:gridCol w:w="692"/>
        <w:gridCol w:w="709"/>
        <w:gridCol w:w="477"/>
        <w:gridCol w:w="477"/>
        <w:gridCol w:w="477"/>
        <w:gridCol w:w="477"/>
        <w:gridCol w:w="477"/>
        <w:gridCol w:w="477"/>
        <w:gridCol w:w="477"/>
        <w:gridCol w:w="477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代码</w:t>
            </w: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课程名称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学分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修读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性质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安排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周数</w:t>
            </w:r>
          </w:p>
        </w:tc>
        <w:tc>
          <w:tcPr>
            <w:tcW w:w="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开课学期及周数安排</w:t>
            </w:r>
          </w:p>
        </w:tc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开课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</w:p>
        </w:tc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第一学年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第二学年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第三学年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第四学年</w:t>
            </w:r>
          </w:p>
        </w:tc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</w:p>
        </w:tc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8</w:t>
            </w:r>
          </w:p>
        </w:tc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41530010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军事技能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Military Skills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0"/>
                <w:szCs w:val="20"/>
              </w:rPr>
              <w:t>军事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0"/>
                <w:szCs w:val="20"/>
              </w:rPr>
              <w:t>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41620010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毛泽东思想和中国特色社会主义理论体系概论实践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Introduction and Practice of Mao Zedong Thought and the Theoretical System of Socialism with Chinese Characteristics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0"/>
                <w:szCs w:val="20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41090891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数据挖掘竞赛训练1#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Data Mining Competition Training1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0.5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数科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41090892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数据挖掘竞赛训练2#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Data Mining Competition Training 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0.5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数科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41091172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毕业实习※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Graduation Practice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8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数科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41091160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科研训练#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Scientific Research Training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数科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41091070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spacing w:val="-6"/>
                <w:szCs w:val="21"/>
              </w:rPr>
              <w:t>Graduation Thesis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7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数科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0"/>
                <w:szCs w:val="2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合计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18"/>
                <w:szCs w:val="18"/>
              </w:rPr>
              <w:t>16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18"/>
                <w:szCs w:val="18"/>
              </w:rPr>
            </w:pPr>
          </w:p>
        </w:tc>
      </w:tr>
    </w:tbl>
    <w:p>
      <w:pPr>
        <w:pStyle w:val="4"/>
        <w:ind w:firstLine="0" w:firstLineChars="0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仿宋_GB2312"/>
          <w:kern w:val="0"/>
          <w:sz w:val="24"/>
        </w:rPr>
        <w:t>备注：课程名称后加“#”为专业实训课程，课程名称后加“※”为专业实习课程。</w:t>
      </w:r>
    </w:p>
    <w:p>
      <w:pPr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br w:type="page"/>
      </w:r>
    </w:p>
    <w:p>
      <w:pPr>
        <w:pStyle w:val="4"/>
        <w:ind w:firstLine="64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十、创新创业教学安排表</w:t>
      </w:r>
    </w:p>
    <w:tbl>
      <w:tblPr>
        <w:tblStyle w:val="8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337"/>
        <w:gridCol w:w="432"/>
        <w:gridCol w:w="539"/>
        <w:gridCol w:w="493"/>
        <w:gridCol w:w="730"/>
        <w:gridCol w:w="393"/>
        <w:gridCol w:w="393"/>
        <w:gridCol w:w="393"/>
        <w:gridCol w:w="393"/>
        <w:gridCol w:w="395"/>
        <w:gridCol w:w="394"/>
        <w:gridCol w:w="393"/>
        <w:gridCol w:w="394"/>
        <w:gridCol w:w="464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8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创新创业类通识课程（公共必修课）（4学分）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课程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课程名称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学分</w:t>
            </w: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学时数</w:t>
            </w:r>
          </w:p>
        </w:tc>
        <w:tc>
          <w:tcPr>
            <w:tcW w:w="3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开课学期及周学时安排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考核方式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开课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总计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讲授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（验）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第一学年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第二学年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第三学年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第四学年</w:t>
            </w: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</w:t>
            </w: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11600011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大学生职业生涯规划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Undergraduate Students Career Planning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11600022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创新思维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Innovative Thinking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19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11600031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创业实践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Entrepreneurship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Practice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19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11600042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就业指导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Employment Guidance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小计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70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64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</w:tbl>
    <w:p>
      <w:pPr>
        <w:pStyle w:val="5"/>
        <w:spacing w:line="52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十一、第二课堂教育教学安排表</w:t>
      </w:r>
    </w:p>
    <w:tbl>
      <w:tblPr>
        <w:tblStyle w:val="8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1"/>
        <w:gridCol w:w="4030"/>
        <w:gridCol w:w="623"/>
        <w:gridCol w:w="917"/>
        <w:gridCol w:w="88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exact"/>
          <w:jc w:val="center"/>
        </w:trPr>
        <w:tc>
          <w:tcPr>
            <w:tcW w:w="1961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课程代码</w:t>
            </w:r>
          </w:p>
        </w:tc>
        <w:tc>
          <w:tcPr>
            <w:tcW w:w="4030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课程名称</w:t>
            </w:r>
          </w:p>
        </w:tc>
        <w:tc>
          <w:tcPr>
            <w:tcW w:w="62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学分</w:t>
            </w:r>
          </w:p>
        </w:tc>
        <w:tc>
          <w:tcPr>
            <w:tcW w:w="91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修读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性质</w:t>
            </w:r>
          </w:p>
        </w:tc>
        <w:tc>
          <w:tcPr>
            <w:tcW w:w="8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开课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135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1961" w:type="dxa"/>
            <w:vMerge w:val="continue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030" w:type="dxa"/>
            <w:vMerge w:val="continue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623" w:type="dxa"/>
            <w:vMerge w:val="continue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1961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03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623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51600021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德育实践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Moral Education Practice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三创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学院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参照《闽江学院“第二课堂成绩单”制度实施细则（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51600031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创新创业教育实践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Innovation and Entrepreneurship Education Practice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51600041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体育实践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Practice In Sports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51600051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美育实践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Aesthetic Education Practice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516000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4030" w:type="dxa"/>
            <w:vAlign w:val="center"/>
          </w:tcPr>
          <w:p>
            <w:pPr>
              <w:widowControl w:val="0"/>
              <w:spacing w:after="0" w:line="220" w:lineRule="exact"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专业教育实践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Professional Education Practice 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51250010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劳动教育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Labor Education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1"/>
                <w:szCs w:val="21"/>
              </w:rPr>
              <w:t>数科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1"/>
                <w:szCs w:val="21"/>
              </w:rPr>
              <w:t>学院</w:t>
            </w:r>
          </w:p>
        </w:tc>
        <w:tc>
          <w:tcPr>
            <w:tcW w:w="135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5991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br w:type="page"/>
      </w:r>
    </w:p>
    <w:p>
      <w:pPr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十二、各学期教学计划总体安排表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517"/>
        <w:gridCol w:w="914"/>
        <w:gridCol w:w="975"/>
        <w:gridCol w:w="1286"/>
        <w:gridCol w:w="1019"/>
        <w:gridCol w:w="918"/>
        <w:gridCol w:w="960"/>
        <w:gridCol w:w="859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学年</w:t>
            </w:r>
          </w:p>
        </w:tc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学期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课堂教学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集中实践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教学周数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机动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周数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学期周数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寒暑假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总计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授课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周数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考试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周数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一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1.5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0.5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第1学期入学教育0.5周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二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三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四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第8学期毕业教育0.5周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4*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合计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104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13.5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30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12.5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160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>
      <w:pPr>
        <w:pStyle w:val="2"/>
        <w:rPr>
          <w:rFonts w:ascii="Times New Roman" w:hAnsi="Times New Roma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840" w:firstLineChars="2800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QIElW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2VmMmJjMzJkZTY0NjU5NTJmYjIwMTkzZDJmMGUifQ=="/>
  </w:docVars>
  <w:rsids>
    <w:rsidRoot w:val="44CA1C27"/>
    <w:rsid w:val="44CA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adjustRightInd w:val="0"/>
      <w:snapToGrid w:val="0"/>
      <w:spacing w:line="460" w:lineRule="exact"/>
      <w:ind w:firstLine="880" w:firstLineChars="200"/>
      <w:jc w:val="left"/>
      <w:outlineLvl w:val="2"/>
    </w:pPr>
    <w:rPr>
      <w:rFonts w:eastAsia="黑体" w:asciiTheme="minorHAnsi" w:hAnsiTheme="minorHAnsi"/>
      <w:bCs/>
      <w:sz w:val="28"/>
    </w:rPr>
  </w:style>
  <w:style w:type="character" w:default="1" w:styleId="9">
    <w:name w:val="Default Paragraph Font"/>
    <w:autoRedefine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0"/>
      <w:sz w:val="24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2024-03-08T02:20:00Z</dcterms:created>
  <dc:creator>黄昆畅</dc:creator>
  <cp:lastModifiedBy>黄昆畅</cp:lastModifiedBy>
  <dcterms:modified xsi:type="dcterms:W3CDTF">2024-03-08T02:21:51Z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56367F30C28444CDABE3CB59718B38F1_11</vt:lpwstr>
  </property>
</Properties>
</file>