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after="0"/>
        <w:ind w:firstLine="428" w:firstLineChars="98"/>
        <w:jc w:val="center"/>
        <w:textAlignment w:val="auto"/>
        <w:outlineLvl w:val="0"/>
        <w:rPr>
          <w:rFonts w:ascii="方正小标宋简体" w:hAnsi="黑体" w:eastAsia="方正小标宋简体"/>
          <w:bCs/>
          <w:color w:val="auto"/>
          <w:sz w:val="44"/>
          <w:szCs w:val="36"/>
        </w:rPr>
      </w:pPr>
      <w:bookmarkStart w:id="0" w:name="_Toc24982"/>
      <w:bookmarkStart w:id="1" w:name="_Toc19264"/>
      <w:r>
        <w:rPr>
          <w:rFonts w:hint="eastAsia" w:ascii="方正小标宋简体" w:hAnsi="黑体" w:eastAsia="方正小标宋简体"/>
          <w:bCs/>
          <w:color w:val="auto"/>
          <w:sz w:val="44"/>
          <w:szCs w:val="36"/>
        </w:rPr>
        <w:t>2022级应用统计学本科专业培养方案</w:t>
      </w:r>
      <w:bookmarkEnd w:id="0"/>
      <w:bookmarkEnd w:id="1"/>
    </w:p>
    <w:p>
      <w:pPr>
        <w:spacing w:line="520" w:lineRule="exact"/>
        <w:outlineLvl w:val="9"/>
        <w:rPr>
          <w:rFonts w:ascii="仿宋_GB2312"/>
          <w:b/>
          <w:bCs/>
          <w:color w:val="auto"/>
        </w:rPr>
      </w:pPr>
    </w:p>
    <w:tbl>
      <w:tblPr>
        <w:tblStyle w:val="6"/>
        <w:tblW w:w="0" w:type="auto"/>
        <w:tblInd w:w="0" w:type="dxa"/>
        <w:tblLayout w:type="autofit"/>
        <w:tblCellMar>
          <w:top w:w="0" w:type="dxa"/>
          <w:left w:w="108" w:type="dxa"/>
          <w:bottom w:w="0" w:type="dxa"/>
          <w:right w:w="108" w:type="dxa"/>
        </w:tblCellMar>
      </w:tblPr>
      <w:tblGrid>
        <w:gridCol w:w="4635"/>
        <w:gridCol w:w="4653"/>
      </w:tblGrid>
      <w:tr>
        <w:tblPrEx>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专业名称：应用统计学</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专业代码：071202</w:t>
            </w:r>
          </w:p>
        </w:tc>
      </w:tr>
      <w:tr>
        <w:tblPrEx>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所属学科门类：理学</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授予学位：理学</w:t>
            </w:r>
          </w:p>
        </w:tc>
      </w:tr>
      <w:tr>
        <w:tblPrEx>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学制：四年</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所属学院：</w:t>
            </w:r>
            <w:r>
              <w:rPr>
                <w:rFonts w:hint="eastAsia" w:ascii="仿宋_GB2312"/>
                <w:b/>
                <w:bCs/>
                <w:color w:val="auto"/>
                <w:sz w:val="20"/>
                <w:szCs w:val="20"/>
              </w:rPr>
              <w:t>数学与数据科学学院（软件学院）</w:t>
            </w:r>
          </w:p>
        </w:tc>
      </w:tr>
      <w:tr>
        <w:tblPrEx>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毕业最低总学分：161学分</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总学时：2188学时</w:t>
            </w:r>
          </w:p>
        </w:tc>
      </w:tr>
      <w:tr>
        <w:tblPrEx>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专业负责人：范林元</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学院负责人：</w:t>
            </w:r>
            <w:r>
              <w:rPr>
                <w:rFonts w:hint="eastAsia" w:ascii="仿宋_GB2312"/>
                <w:b/>
                <w:bCs/>
                <w:color w:val="0112F1"/>
                <w:sz w:val="28"/>
                <w:szCs w:val="28"/>
              </w:rPr>
              <w:t>林文如</w:t>
            </w:r>
          </w:p>
        </w:tc>
      </w:tr>
    </w:tbl>
    <w:p>
      <w:pPr>
        <w:pStyle w:val="3"/>
        <w:spacing w:line="460" w:lineRule="exact"/>
        <w:ind w:left="98" w:leftChars="0" w:firstLine="406" w:firstLineChars="0"/>
        <w:outlineLvl w:val="9"/>
        <w:rPr>
          <w:rFonts w:ascii="仿宋_GB2312" w:hAnsi="宋体" w:eastAsia="仿宋_GB2312"/>
          <w:color w:val="auto"/>
          <w:sz w:val="28"/>
          <w:szCs w:val="28"/>
        </w:rPr>
      </w:pPr>
    </w:p>
    <w:p>
      <w:pPr>
        <w:pStyle w:val="3"/>
        <w:spacing w:line="460" w:lineRule="exact"/>
        <w:ind w:left="98" w:leftChars="0" w:firstLine="406" w:firstLineChars="0"/>
        <w:outlineLvl w:val="9"/>
        <w:rPr>
          <w:rFonts w:ascii="仿宋_GB2312" w:hAnsi="宋体" w:eastAsia="仿宋_GB2312"/>
          <w:color w:val="auto"/>
          <w:sz w:val="28"/>
          <w:szCs w:val="28"/>
        </w:rPr>
      </w:pPr>
    </w:p>
    <w:p>
      <w:pPr>
        <w:pStyle w:val="3"/>
        <w:spacing w:line="460" w:lineRule="exact"/>
        <w:ind w:left="0" w:leftChars="0" w:firstLine="552" w:firstLineChars="200"/>
        <w:rPr>
          <w:rFonts w:ascii="黑体" w:hAnsi="宋体" w:eastAsia="黑体"/>
          <w:bCs/>
          <w:sz w:val="28"/>
          <w:szCs w:val="28"/>
        </w:rPr>
      </w:pPr>
      <w:r>
        <w:rPr>
          <w:rFonts w:hint="eastAsia" w:ascii="黑体" w:hAnsi="宋体" w:eastAsia="黑体"/>
          <w:bCs/>
          <w:sz w:val="28"/>
          <w:szCs w:val="28"/>
        </w:rPr>
        <w:t>一、培养目标</w:t>
      </w:r>
    </w:p>
    <w:p>
      <w:pPr>
        <w:tabs>
          <w:tab w:val="left" w:pos="840"/>
        </w:tabs>
        <w:spacing w:line="460" w:lineRule="exact"/>
        <w:ind w:firstLine="412" w:firstLineChars="200"/>
        <w:rPr>
          <w:rFonts w:ascii="仿宋_GB2312"/>
          <w:bCs/>
          <w:sz w:val="28"/>
          <w:szCs w:val="28"/>
        </w:rPr>
      </w:pPr>
      <w:r>
        <w:rPr>
          <w:sz w:val="21"/>
          <w:szCs w:val="21"/>
        </w:rPr>
        <w:t xml:space="preserve">  </w:t>
      </w:r>
      <w:r>
        <w:rPr>
          <w:rFonts w:ascii="仿宋_GB2312"/>
          <w:bCs/>
          <w:sz w:val="28"/>
          <w:szCs w:val="28"/>
        </w:rPr>
        <w:t> 本专业以立德树人为根本任务，坚持育人为本，德育为先的培养理念，培养知识、能力、素质全面发展，掌握数学和统计学的基本思想、基本理论和方法以及相关的经济学、计算机和数据科学的基础知识，能够应用统计学方法，通过计算机和统计软件在经济金融、工农业生产、交通运输等相关领域进行数据分析和挖掘，在金融、投资、电子商务、互联网+行业、大型商业、高端制造业和政府部门从事统计调查、信息管理、数据分析、数据挖掘等应用和研究工作，具有创新创业精神和能力的应用型人才。</w:t>
      </w:r>
    </w:p>
    <w:p>
      <w:pPr>
        <w:tabs>
          <w:tab w:val="left" w:pos="840"/>
        </w:tabs>
        <w:spacing w:line="460" w:lineRule="exact"/>
        <w:ind w:firstLine="552" w:firstLineChars="200"/>
        <w:rPr>
          <w:rFonts w:ascii="仿宋_GB2312"/>
          <w:bCs/>
          <w:sz w:val="28"/>
          <w:szCs w:val="28"/>
        </w:rPr>
      </w:pPr>
      <w:r>
        <w:rPr>
          <w:rFonts w:ascii="仿宋_GB2312"/>
          <w:bCs/>
          <w:sz w:val="28"/>
          <w:szCs w:val="28"/>
        </w:rPr>
        <w:t> 本专业对所培养的学生在毕业五年左右的目标预期是：</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1：政治坚定，坚决拥护中国共产党的领导，贯彻落实习近平新时代中国特色社会主义思想，践行社会主义核心价值观，具备正确的世界观、人生观、价值观及良好的思想品质，文化素养和职业道德素质，拥有作为合格公民的良好意识和社会责任感。</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2：具有扎实的数学基础，掌握统计学的基本思想、基本理论和方法，具备经济学、计算机科学与数据科学等交叉学科专业知识，具有系统思维、数学思维、统计思维、计算思维、大数据思维，富有创新创业精神。</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3：能够运用所学知识、技术、能力与素质等，去分析和解决相关领域的实际问题，能够从事统计调查、信息管理、数据分析、数据挖掘等工作，成为相关领域的统计分析或大数据分析人才，能够从事相关领域的研究工作。</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目标4：具有良好的沟通交流能力及团队合作精神，良好的社会适应能力、实践能力和应用创新能力，能够在多学科和跨文化环境下开展工作，胜任相关专业领域的工作，成为所在企事业单位的技术或业务骨干。</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目标5：具备良好的自主学习能力和可持续发展的专业发展意识，能够不断更新知识，实现能力和技术水平的提升，适应社会发展与行业竞争。</w:t>
      </w:r>
    </w:p>
    <w:p>
      <w:pPr>
        <w:pStyle w:val="3"/>
        <w:spacing w:line="460" w:lineRule="exact"/>
        <w:ind w:left="0" w:leftChars="0" w:firstLine="552" w:firstLineChars="200"/>
        <w:rPr>
          <w:rFonts w:ascii="黑体" w:hAnsi="黑体" w:eastAsia="黑体" w:cs="仿宋_GB2312"/>
          <w:sz w:val="28"/>
          <w:szCs w:val="28"/>
        </w:rPr>
      </w:pPr>
      <w:r>
        <w:rPr>
          <w:rFonts w:hint="eastAsia" w:ascii="黑体" w:hAnsi="黑体" w:eastAsia="黑体" w:cs="仿宋_GB2312"/>
          <w:sz w:val="28"/>
          <w:szCs w:val="28"/>
        </w:rPr>
        <w:t>二、毕业要求</w:t>
      </w:r>
    </w:p>
    <w:p>
      <w:pPr>
        <w:pStyle w:val="3"/>
        <w:spacing w:line="460" w:lineRule="exact"/>
        <w:ind w:left="0" w:leftChars="0"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通过专业学习，毕业生应获得以下几个方面的知识、能力和素质: </w:t>
      </w:r>
    </w:p>
    <w:p>
      <w:pPr>
        <w:spacing w:line="460" w:lineRule="exact"/>
        <w:ind w:firstLine="552" w:firstLineChars="200"/>
        <w:rPr>
          <w:sz w:val="28"/>
          <w:szCs w:val="28"/>
        </w:rPr>
      </w:pPr>
      <w:r>
        <w:rPr>
          <w:rFonts w:hint="eastAsia"/>
          <w:sz w:val="28"/>
          <w:szCs w:val="28"/>
        </w:rPr>
        <w:t>1.理想信念：具备良好的政治素质，坚决拥护中国共产党的领导，积极践行社会主义核心价值观；遵守国家法律、法规；具有正确的世界观、人生观、价值观和良好的思想道德品质，拥有作为合格公民的良好意识和社会责任感。</w:t>
      </w:r>
    </w:p>
    <w:p>
      <w:pPr>
        <w:spacing w:line="460" w:lineRule="exact"/>
        <w:ind w:firstLine="552" w:firstLineChars="200"/>
        <w:rPr>
          <w:sz w:val="28"/>
          <w:szCs w:val="28"/>
        </w:rPr>
      </w:pPr>
      <w:r>
        <w:rPr>
          <w:rFonts w:hint="eastAsia"/>
          <w:sz w:val="28"/>
          <w:szCs w:val="28"/>
        </w:rPr>
        <w:t>2.家国情怀：尊重中华民族历史和文化，维护祖国统一和民族团结，热爱祖国；关心时事政治和国家发展；具有为国家繁荣和社会进步甘于奉献的责任和担当。</w:t>
      </w:r>
    </w:p>
    <w:p>
      <w:pPr>
        <w:spacing w:line="460" w:lineRule="exact"/>
        <w:ind w:firstLine="552" w:firstLineChars="200"/>
        <w:rPr>
          <w:sz w:val="28"/>
          <w:szCs w:val="28"/>
        </w:rPr>
      </w:pPr>
      <w:r>
        <w:rPr>
          <w:rFonts w:hint="eastAsia"/>
          <w:sz w:val="28"/>
          <w:szCs w:val="28"/>
        </w:rPr>
        <w:t>3.专业素养：具备扎实的数学基础， 掌握统计学的基本理论和方法；了解经济学、计算机科学与数据科学等相关学科领域的知识；具备良好数学与统计学思维，能够熟练运用专业软件采集、处理、分析数据，合理运用方法和技术解决实际问题。</w:t>
      </w:r>
    </w:p>
    <w:p>
      <w:pPr>
        <w:spacing w:line="460" w:lineRule="exact"/>
        <w:ind w:firstLine="552" w:firstLineChars="200"/>
        <w:rPr>
          <w:sz w:val="28"/>
          <w:szCs w:val="28"/>
        </w:rPr>
      </w:pPr>
      <w:r>
        <w:rPr>
          <w:rFonts w:hint="eastAsia"/>
          <w:sz w:val="28"/>
          <w:szCs w:val="28"/>
        </w:rPr>
        <w:t>4.人文素养：具备良好的人文艺术与社会科学知识；尊重人格、尊严、价值、理性和精神追求；诚实守信，待人友善。</w:t>
      </w:r>
    </w:p>
    <w:p>
      <w:pPr>
        <w:spacing w:line="460" w:lineRule="exact"/>
        <w:ind w:firstLine="552" w:firstLineChars="200"/>
        <w:rPr>
          <w:sz w:val="28"/>
          <w:szCs w:val="28"/>
        </w:rPr>
      </w:pPr>
      <w:r>
        <w:rPr>
          <w:rFonts w:hint="eastAsia"/>
          <w:sz w:val="28"/>
          <w:szCs w:val="28"/>
        </w:rPr>
        <w:t>5.社会应用：能够基于科学原理并采用科学方法对统计学及相关领域内的复杂问题进行研究，包括设计实验、分析与解释数据、并通过信息综合得到合理有效的结论；能够设计针对统计学及相关领域复杂问题的解决方案，设计满足特定需求的统计调查、数据收集、数据处理、决策服务，并能够在设计环节中体现创新意识，考虑社会、健康、安全、法律、文化以及环境等因素。</w:t>
      </w:r>
    </w:p>
    <w:p>
      <w:pPr>
        <w:spacing w:line="460" w:lineRule="exact"/>
        <w:ind w:firstLine="552" w:firstLineChars="200"/>
        <w:rPr>
          <w:sz w:val="28"/>
          <w:szCs w:val="28"/>
        </w:rPr>
      </w:pPr>
      <w:r>
        <w:rPr>
          <w:rFonts w:hint="eastAsia"/>
          <w:sz w:val="28"/>
          <w:szCs w:val="28"/>
        </w:rPr>
        <w:t>6.交流协作：具备良好的国际视野，能够在跨文化背景下进行沟通和交流；能够就统计学及相关领域内的问题与业界同行及社会公众进行有效沟通和交流，包括撰写报告和设计文稿、陈述发言、清晰表达或回应指令；理解并掌握统计学及相关领域质量管理原理与决策分析方法，并能在多学科环境中应用；能够在多学科背景下的团队中承担个体、团队成员以及负责人的角色。</w:t>
      </w:r>
    </w:p>
    <w:p>
      <w:pPr>
        <w:spacing w:line="460" w:lineRule="exact"/>
        <w:ind w:firstLine="552" w:firstLineChars="200"/>
        <w:rPr>
          <w:sz w:val="28"/>
          <w:szCs w:val="28"/>
        </w:rPr>
      </w:pPr>
      <w:r>
        <w:rPr>
          <w:rFonts w:hint="eastAsia"/>
          <w:sz w:val="28"/>
          <w:szCs w:val="28"/>
        </w:rPr>
        <w:t>7.终身学习：具有端正的学习态度和终身学习和的意识，有不断学习的能力和坚韧不拔的学习意志；具有创新精神，具备创新创业能力、实践能力与适应社会不断发展的能力。</w:t>
      </w:r>
    </w:p>
    <w:p>
      <w:pPr>
        <w:spacing w:line="460" w:lineRule="exact"/>
        <w:ind w:firstLine="552" w:firstLineChars="200"/>
        <w:rPr>
          <w:sz w:val="28"/>
          <w:szCs w:val="28"/>
        </w:rPr>
      </w:pPr>
      <w:r>
        <w:rPr>
          <w:rFonts w:hint="eastAsia"/>
          <w:sz w:val="28"/>
          <w:szCs w:val="28"/>
        </w:rPr>
        <w:t>8.职业规范：具有严谨的科学精神和良好的社会责任感，熟悉本专业领域法律、法规及相关政策，在工作生活中严格遵守相关法规，法律及政策；能够理解并遵守社会公德、职业道德和职业规范，履行责任。</w:t>
      </w:r>
    </w:p>
    <w:p>
      <w:pPr>
        <w:spacing w:line="460" w:lineRule="exact"/>
        <w:ind w:firstLine="552" w:firstLineChars="200"/>
        <w:jc w:val="left"/>
        <w:rPr>
          <w:rFonts w:eastAsia="黑体"/>
          <w:bCs/>
          <w:sz w:val="28"/>
          <w:szCs w:val="28"/>
        </w:rPr>
      </w:pPr>
      <w:r>
        <w:rPr>
          <w:rFonts w:hint="eastAsia" w:eastAsia="黑体"/>
          <w:bCs/>
          <w:sz w:val="28"/>
          <w:szCs w:val="28"/>
        </w:rPr>
        <w:t>三、“培养目标—毕业要求”和“毕业要求—课程体系”支撑矩阵</w:t>
      </w:r>
    </w:p>
    <w:p>
      <w:pPr>
        <w:jc w:val="center"/>
        <w:rPr>
          <w:rFonts w:ascii="仿宋_GB2312" w:hAnsi="楷体" w:cs="楷体"/>
          <w:sz w:val="28"/>
          <w:szCs w:val="28"/>
        </w:rPr>
      </w:pPr>
      <w:r>
        <w:rPr>
          <w:rFonts w:hint="eastAsia" w:ascii="仿宋_GB2312" w:hAnsi="宋体" w:cs="Arial"/>
          <w:b/>
          <w:kern w:val="0"/>
          <w:sz w:val="28"/>
          <w:szCs w:val="28"/>
          <w:shd w:val="clear" w:color="auto" w:fill="FFFFFF"/>
        </w:rPr>
        <w:t>表3-1   专业毕业要求对培养目标的支撑矩阵</w:t>
      </w:r>
    </w:p>
    <w:tbl>
      <w:tblPr>
        <w:tblStyle w:val="6"/>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5"/>
        <w:gridCol w:w="1542"/>
        <w:gridCol w:w="1543"/>
        <w:gridCol w:w="1543"/>
        <w:gridCol w:w="1543"/>
        <w:gridCol w:w="1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079" w:type="dxa"/>
            <w:tcBorders>
              <w:tl2br w:val="single" w:color="000000" w:sz="4" w:space="0"/>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 xml:space="preserve">   目标</w:t>
            </w:r>
          </w:p>
          <w:p>
            <w:pPr>
              <w:ind w:firstLine="412" w:firstLineChars="200"/>
              <w:rPr>
                <w:rFonts w:ascii="仿宋_GB2312" w:hAnsi="仿宋_GB2312" w:cs="仿宋_GB2312"/>
                <w:sz w:val="21"/>
                <w:szCs w:val="21"/>
              </w:rPr>
            </w:pPr>
            <w:r>
              <w:rPr>
                <w:rFonts w:hint="eastAsia" w:ascii="仿宋_GB2312" w:hAnsi="仿宋_GB2312" w:cs="仿宋_GB2312"/>
                <w:sz w:val="21"/>
                <w:szCs w:val="21"/>
              </w:rPr>
              <w:t>要求</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培养目标1</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培养目标2</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培养目标3</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培养目标4</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毕业要求2</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毕业要求3</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毕业要求4</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毕业要求5</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毕业要求6</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毕业要求7</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毕业要求8</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bl>
    <w:p>
      <w:pPr>
        <w:jc w:val="center"/>
        <w:rPr>
          <w:rFonts w:ascii="仿宋_GB2312" w:hAnsi="宋体" w:cs="Arial"/>
          <w:b/>
          <w:kern w:val="0"/>
          <w:sz w:val="28"/>
          <w:szCs w:val="28"/>
          <w:shd w:val="clear" w:color="auto" w:fill="FFFFFF"/>
        </w:rPr>
      </w:pPr>
      <w:r>
        <w:rPr>
          <w:rFonts w:hint="eastAsia" w:ascii="仿宋_GB2312" w:hAnsi="宋体" w:cs="Arial"/>
          <w:b/>
          <w:kern w:val="0"/>
          <w:sz w:val="28"/>
          <w:szCs w:val="28"/>
          <w:shd w:val="clear" w:color="auto" w:fill="FFFFFF"/>
        </w:rPr>
        <w:t>3-2   专业课程体系对毕业要求的支撑矩阵</w:t>
      </w:r>
    </w:p>
    <w:tbl>
      <w:tblPr>
        <w:tblStyle w:val="6"/>
        <w:tblW w:w="99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85"/>
        <w:gridCol w:w="1008"/>
        <w:gridCol w:w="1008"/>
        <w:gridCol w:w="1008"/>
        <w:gridCol w:w="1008"/>
        <w:gridCol w:w="1008"/>
        <w:gridCol w:w="1008"/>
        <w:gridCol w:w="1008"/>
        <w:gridCol w:w="1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153" w:type="dxa"/>
            <w:vMerge w:val="restart"/>
            <w:shd w:val="clear" w:color="auto" w:fill="FFFFFF"/>
            <w:vAlign w:val="center"/>
          </w:tcPr>
          <w:p>
            <w:pPr>
              <w:snapToGrid w:val="0"/>
              <w:jc w:val="center"/>
              <w:rPr>
                <w:rFonts w:ascii="仿宋_GB2312" w:hAnsi="仿宋_GB2312" w:cs="仿宋_GB2312"/>
                <w:b/>
                <w:color w:val="000000"/>
                <w:sz w:val="21"/>
                <w:szCs w:val="21"/>
              </w:rPr>
            </w:pPr>
            <w:r>
              <w:rPr>
                <w:rFonts w:hint="eastAsia" w:ascii="仿宋_GB2312" w:hAnsi="仿宋_GB2312" w:cs="仿宋_GB2312"/>
                <w:color w:val="000000"/>
                <w:sz w:val="21"/>
                <w:szCs w:val="21"/>
              </w:rPr>
              <w:t>课程名称</w:t>
            </w:r>
          </w:p>
        </w:tc>
        <w:tc>
          <w:tcPr>
            <w:tcW w:w="1134" w:type="dxa"/>
            <w:gridSpan w:val="8"/>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毕业要求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153" w:type="dxa"/>
            <w:vMerge w:val="continue"/>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w:t>
            </w:r>
          </w:p>
        </w:tc>
        <w:tc>
          <w:tcPr>
            <w:tcW w:w="1134"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2</w:t>
            </w:r>
          </w:p>
        </w:tc>
        <w:tc>
          <w:tcPr>
            <w:tcW w:w="1134"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3</w:t>
            </w:r>
          </w:p>
        </w:tc>
        <w:tc>
          <w:tcPr>
            <w:tcW w:w="1134"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4</w:t>
            </w:r>
          </w:p>
        </w:tc>
        <w:tc>
          <w:tcPr>
            <w:tcW w:w="1134"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5</w:t>
            </w:r>
          </w:p>
        </w:tc>
        <w:tc>
          <w:tcPr>
            <w:tcW w:w="1134"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6</w:t>
            </w:r>
          </w:p>
        </w:tc>
        <w:tc>
          <w:tcPr>
            <w:tcW w:w="1134"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7</w:t>
            </w:r>
          </w:p>
        </w:tc>
        <w:tc>
          <w:tcPr>
            <w:tcW w:w="1134"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大学英语1</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大学英语2</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大学英语3</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大学英语4</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形势与政策</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Office高级应用</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大学体育1</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大学体育2</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大学体育3</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大学体育4</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大学生职业生涯规划</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创新思维</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创业实践</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就业指导</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中国近现代史纲要</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马克思主义基本原理</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思想道德与法治</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军事理论</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习近平与闽大</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习近平新时代中国特色社会主义思想概论</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毛泽东思想和中国特色社会主义理论体系概论</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大学生心理健康</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概率论与数理统计</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程序设计基础</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高等代数1</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高等代数2</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数学分析1</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数学分析2</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数学分析3</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应用统计学导论</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Python与数据分析</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统计建模与R软件</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数据挖掘</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数据库技术</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应用多元统计分析</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抽样调查</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应用时间序列分析</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应用回归分析</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量化投资技术</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微观经济学</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宏观经济学</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Linux系统应用</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数据挖掘案例</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大数据技术基础</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会计学原理</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保险学原理</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证券投资</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机器学习</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寿险精算</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风险理论与非寿险精算</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统计预测与决策</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数据科学算法</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离散数学</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算法与数据结构</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数值分析</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数学建模</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面向对象程序设计</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统计计算</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Spark与大数据技术</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运筹与优化</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数据可视化</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神经网络与深度学习</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金融工程</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统计质量管理</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数据挖掘竞赛训练1</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数据挖掘竞赛训练2</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毕业实习</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毕业论文（设计）</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专业认知实习</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专业见习</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军事技能</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毛泽东思想和中国特色社会主义理论体系概论实践</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德育实践</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创新创业教育实践</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体育实践</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美育实践</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专业教育实践</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劳动教育</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p>
        </w:tc>
        <w:tc>
          <w:tcPr>
            <w:tcW w:w="1134"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bl>
    <w:p>
      <w:pPr>
        <w:pStyle w:val="3"/>
        <w:tabs>
          <w:tab w:val="left" w:pos="1080"/>
          <w:tab w:val="left" w:pos="1668"/>
        </w:tabs>
        <w:spacing w:line="520" w:lineRule="exact"/>
        <w:ind w:left="0" w:leftChars="0" w:firstLine="552" w:firstLineChars="200"/>
        <w:rPr>
          <w:rFonts w:eastAsia="仿宋_GB2312" w:cs="仿宋_GB2312"/>
          <w:bCs/>
          <w:color w:val="000000"/>
          <w:sz w:val="28"/>
          <w:szCs w:val="28"/>
        </w:rPr>
        <w:sectPr>
          <w:headerReference r:id="rId3" w:type="default"/>
          <w:footerReference r:id="rId4" w:type="default"/>
          <w:pgSz w:w="11906" w:h="16838"/>
          <w:pgMar w:top="1417" w:right="1417" w:bottom="1417" w:left="1417" w:header="851" w:footer="1134" w:gutter="0"/>
          <w:pgNumType w:fmt="decimal"/>
          <w:cols w:space="720" w:num="1"/>
          <w:docGrid w:type="linesAndChars" w:linePitch="579" w:charSpace="-849"/>
        </w:sectPr>
      </w:pPr>
    </w:p>
    <w:p>
      <w:pPr>
        <w:pStyle w:val="3"/>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四、主干学科和核心课程</w:t>
      </w:r>
    </w:p>
    <w:p>
      <w:pPr>
        <w:pStyle w:val="3"/>
        <w:spacing w:line="460" w:lineRule="exact"/>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主干学科：数学、统计学、经济学、计算机科学、数据科学</w:t>
      </w:r>
    </w:p>
    <w:p>
      <w:pPr>
        <w:pStyle w:val="3"/>
        <w:spacing w:line="460" w:lineRule="exact"/>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核心课程：数学分析1、数学分析2、概率论与数理统计、高等代数1、高等代数2、程序设计基础、数学分析3、数据库技术、应用多元统计分析、应用时间序列分析、应用回归分析、抽样调查、统计建模与R软件、Python与数据分析、数据挖掘</w:t>
      </w:r>
    </w:p>
    <w:p>
      <w:pPr>
        <w:pStyle w:val="3"/>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五、主要实践性教学环节/主要专业实验</w:t>
      </w:r>
    </w:p>
    <w:p>
      <w:pPr>
        <w:pStyle w:val="3"/>
        <w:tabs>
          <w:tab w:val="left" w:pos="1080"/>
        </w:tabs>
        <w:spacing w:line="460" w:lineRule="exact"/>
        <w:ind w:left="0" w:leftChars="0" w:firstLine="562" w:firstLineChars="200"/>
        <w:rPr>
          <w:rFonts w:ascii="仿宋_GB2312" w:eastAsia="仿宋_GB2312"/>
          <w:sz w:val="28"/>
          <w:szCs w:val="28"/>
        </w:rPr>
      </w:pPr>
      <w:r>
        <w:rPr>
          <w:rFonts w:hint="eastAsia" w:ascii="仿宋_GB2312" w:hAnsi="宋体" w:eastAsia="仿宋_GB2312"/>
          <w:b/>
          <w:bCs/>
          <w:sz w:val="28"/>
          <w:szCs w:val="28"/>
        </w:rPr>
        <w:t>主要实践性教学环节：</w:t>
      </w:r>
      <w:r>
        <w:rPr>
          <w:rFonts w:hint="eastAsia" w:ascii="仿宋_GB2312" w:eastAsia="仿宋_GB2312"/>
          <w:sz w:val="28"/>
          <w:szCs w:val="28"/>
        </w:rPr>
        <w:t>军事技能、毛泽东思想和中国特色社会主义理论体系概论实践、专业认知实习、数据挖掘竞赛训练1、数据挖掘竞赛训练2、专业见习、毕业实习、毕业论文（设计）</w:t>
      </w:r>
      <w:r>
        <w:rPr>
          <w:rFonts w:hint="eastAsia" w:ascii="仿宋_GB2312" w:eastAsia="仿宋_GB2312"/>
          <w:color w:val="auto"/>
          <w:sz w:val="28"/>
          <w:szCs w:val="28"/>
          <w:lang w:eastAsia="zh-CN"/>
        </w:rPr>
        <w:t>、第二课堂教育教学</w:t>
      </w:r>
    </w:p>
    <w:p>
      <w:pPr>
        <w:pStyle w:val="3"/>
        <w:tabs>
          <w:tab w:val="left" w:pos="1080"/>
        </w:tabs>
        <w:spacing w:line="460" w:lineRule="exact"/>
        <w:ind w:left="0" w:leftChars="0" w:firstLine="562" w:firstLineChars="200"/>
        <w:rPr>
          <w:rFonts w:ascii="仿宋_GB2312" w:eastAsia="仿宋_GB2312"/>
          <w:sz w:val="28"/>
          <w:szCs w:val="28"/>
        </w:rPr>
      </w:pPr>
      <w:r>
        <w:rPr>
          <w:rFonts w:hint="eastAsia" w:ascii="仿宋_GB2312" w:hAnsi="宋体" w:eastAsia="仿宋_GB2312"/>
          <w:b/>
          <w:bCs/>
          <w:sz w:val="28"/>
          <w:szCs w:val="28"/>
        </w:rPr>
        <w:t>主要专业实验：</w:t>
      </w:r>
      <w:r>
        <w:rPr>
          <w:rFonts w:hint="eastAsia" w:ascii="仿宋_GB2312" w:hAnsi="宋体" w:eastAsia="仿宋_GB2312"/>
          <w:sz w:val="28"/>
          <w:szCs w:val="28"/>
        </w:rPr>
        <w:t>程序设计基础、抽样调查、数据库技术、统计建模与R软件、Python与数据分析、数据挖掘、应用多元统计分析、应用回归分析、Linux系统应用、大数据技术基础、量化投资技术、数据挖掘案例、应用时间序列分析</w:t>
      </w:r>
    </w:p>
    <w:p>
      <w:pPr>
        <w:pStyle w:val="3"/>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六、课程设置、结构比例与说明</w:t>
      </w:r>
    </w:p>
    <w:p>
      <w:pPr>
        <w:snapToGrid w:val="0"/>
        <w:spacing w:line="460" w:lineRule="exact"/>
        <w:ind w:firstLine="560" w:firstLineChars="200"/>
        <w:rPr>
          <w:rFonts w:ascii="仿宋_GB2312" w:hAnsi="仿宋_GB2312" w:cs="仿宋_GB2312"/>
          <w:sz w:val="28"/>
          <w:szCs w:val="28"/>
        </w:rPr>
      </w:pPr>
      <w:r>
        <w:rPr>
          <w:rFonts w:hint="eastAsia" w:ascii="仿宋_GB2312" w:hAnsi="仿宋_GB2312" w:cs="仿宋_GB2312"/>
          <w:sz w:val="28"/>
          <w:szCs w:val="28"/>
        </w:rPr>
        <w:t>1.理论教学</w:t>
      </w:r>
    </w:p>
    <w:tbl>
      <w:tblPr>
        <w:tblStyle w:val="6"/>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203"/>
        <w:gridCol w:w="1460"/>
        <w:gridCol w:w="1642"/>
        <w:gridCol w:w="1460"/>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004" w:type="dxa"/>
            <w:gridSpan w:val="2"/>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课程类别</w:t>
            </w:r>
          </w:p>
        </w:tc>
        <w:tc>
          <w:tcPr>
            <w:tcW w:w="1460"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1642"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占总学分比</w:t>
            </w:r>
          </w:p>
        </w:tc>
        <w:tc>
          <w:tcPr>
            <w:tcW w:w="1460"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1748"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restart"/>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szCs w:val="21"/>
              </w:rPr>
              <w:t>必</w:t>
            </w:r>
          </w:p>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kern w:val="0"/>
                <w:szCs w:val="21"/>
              </w:rPr>
              <w:t>课</w:t>
            </w: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通识课程 （公共基础课）</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36.</w:t>
            </w:r>
            <w:r>
              <w:rPr>
                <w:rFonts w:ascii="仿宋_GB2312" w:hAnsi="仿宋_GB2312" w:eastAsia="仿宋_GB2312" w:cs="仿宋_GB2312"/>
                <w:szCs w:val="21"/>
              </w:rPr>
              <w:t>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22.55%</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646.0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学科（专业）基础课程</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26.</w:t>
            </w:r>
            <w:r>
              <w:rPr>
                <w:rFonts w:ascii="仿宋_GB2312" w:hAnsi="仿宋_GB2312" w:eastAsia="仿宋_GB2312" w:cs="仿宋_GB2312"/>
                <w:szCs w:val="21"/>
              </w:rPr>
              <w:t>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16.21%</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418.0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专业课程</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7.0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10.50%</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270.0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restart"/>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选</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修</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通识课程 （公共基础课）</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3.73%</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90.0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专业课程</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18.0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11.18%</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288.0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4" w:type="dxa"/>
            <w:gridSpan w:val="2"/>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103.</w:t>
            </w:r>
            <w:r>
              <w:rPr>
                <w:rFonts w:ascii="仿宋_GB2312" w:hAnsi="仿宋_GB2312" w:eastAsia="仿宋_GB2312" w:cs="仿宋_GB2312"/>
                <w:szCs w:val="21"/>
              </w:rPr>
              <w:t>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64.16%</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1712.0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78.24%</w:t>
            </w:r>
          </w:p>
        </w:tc>
      </w:tr>
    </w:tbl>
    <w:p>
      <w:pPr>
        <w:adjustRightInd w:val="0"/>
        <w:snapToGrid w:val="0"/>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2.实践教学</w:t>
      </w:r>
    </w:p>
    <w:tbl>
      <w:tblPr>
        <w:tblStyle w:val="6"/>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49"/>
        <w:gridCol w:w="2059"/>
        <w:gridCol w:w="802"/>
        <w:gridCol w:w="792"/>
        <w:gridCol w:w="950"/>
        <w:gridCol w:w="792"/>
        <w:gridCol w:w="794"/>
        <w:gridCol w:w="802"/>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dxa"/>
            <w:gridSpan w:val="3"/>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课程类别</w:t>
            </w:r>
          </w:p>
        </w:tc>
        <w:tc>
          <w:tcPr>
            <w:tcW w:w="802" w:type="dxa"/>
            <w:vMerge w:val="restart"/>
            <w:tcBorders>
              <w:top w:val="single" w:color="auto" w:sz="4" w:space="0"/>
              <w:left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792" w:type="dxa"/>
            <w:vMerge w:val="restart"/>
            <w:tcBorders>
              <w:top w:val="single" w:color="auto" w:sz="4" w:space="0"/>
              <w:left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950" w:type="dxa"/>
            <w:vMerge w:val="restart"/>
            <w:tcBorders>
              <w:top w:val="single" w:color="auto" w:sz="4" w:space="0"/>
              <w:left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w:t>
            </w:r>
          </w:p>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分比</w:t>
            </w:r>
          </w:p>
        </w:tc>
        <w:tc>
          <w:tcPr>
            <w:tcW w:w="1586"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其中实验</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802"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792"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950"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实</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践</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教</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w:t>
            </w: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必</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通识课程 （公共基础课）</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108.0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ascii="仿宋_GB2312" w:hAnsi="仿宋_GB2312" w:eastAsia="仿宋_GB2312" w:cs="仿宋_GB2312"/>
                <w:kern w:val="0"/>
                <w:szCs w:val="21"/>
              </w:rPr>
              <w:t>7</w:t>
            </w:r>
            <w:r>
              <w:rPr>
                <w:rFonts w:hint="eastAsia" w:ascii="仿宋_GB2312" w:hAnsi="仿宋_GB2312" w:eastAsia="仿宋_GB2312" w:cs="仿宋_GB2312"/>
                <w:kern w:val="0"/>
                <w:szCs w:val="21"/>
              </w:rPr>
              <w:t>.</w:t>
            </w:r>
            <w:r>
              <w:rPr>
                <w:rFonts w:ascii="仿宋_GB2312" w:hAnsi="仿宋_GB2312" w:eastAsia="仿宋_GB2312" w:cs="仿宋_GB2312"/>
                <w:kern w:val="0"/>
                <w:szCs w:val="21"/>
              </w:rPr>
              <w:t>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4.16%</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r>
              <w:rPr>
                <w:rFonts w:ascii="仿宋_GB2312" w:hAnsi="仿宋_GB2312" w:eastAsia="仿宋_GB2312" w:cs="仿宋_GB2312"/>
                <w:kern w:val="0"/>
                <w:szCs w:val="21"/>
              </w:rPr>
              <w:t>0</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88.0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ascii="仿宋_GB2312" w:hAnsi="仿宋_GB2312" w:eastAsia="仿宋_GB2312" w:cs="仿宋_GB2312"/>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学科（专业）基础课程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126.0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ascii="仿宋_GB2312" w:hAnsi="仿宋_GB2312" w:eastAsia="仿宋_GB2312" w:cs="仿宋_GB2312"/>
                <w:kern w:val="0"/>
                <w:szCs w:val="21"/>
              </w:rPr>
              <w:t>8</w:t>
            </w:r>
            <w:r>
              <w:rPr>
                <w:rFonts w:hint="eastAsia" w:ascii="仿宋_GB2312" w:hAnsi="仿宋_GB2312" w:eastAsia="仿宋_GB2312" w:cs="仿宋_GB2312"/>
                <w:kern w:val="0"/>
                <w:szCs w:val="21"/>
              </w:rPr>
              <w:t>.</w:t>
            </w:r>
            <w:r>
              <w:rPr>
                <w:rFonts w:ascii="仿宋_GB2312" w:hAnsi="仿宋_GB2312" w:eastAsia="仿宋_GB2312" w:cs="仿宋_GB2312"/>
                <w:kern w:val="0"/>
                <w:szCs w:val="21"/>
              </w:rPr>
              <w:t>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4.91%</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32.0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94.0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ascii="仿宋_GB2312" w:hAnsi="仿宋_GB2312" w:eastAsia="仿宋_GB2312" w:cs="仿宋_GB2312"/>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130.0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8.1</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5.03%</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130.0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w:t>
            </w:r>
            <w:r>
              <w:rPr>
                <w:rFonts w:ascii="仿宋_GB2312" w:hAnsi="仿宋_GB2312" w:eastAsia="仿宋_GB2312" w:cs="仿宋_GB2312"/>
                <w:kern w:val="0"/>
                <w:szCs w:val="21"/>
              </w:rPr>
              <w:t>0</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选</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通识课程 （公共基础课）</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112.0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4.35%</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92.0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ascii="仿宋_GB2312" w:hAnsi="仿宋_GB2312" w:eastAsia="仿宋_GB2312" w:cs="仿宋_GB2312"/>
                <w:kern w:val="0"/>
                <w:szCs w:val="21"/>
              </w:rPr>
              <w:t>6.0</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r>
              <w:rPr>
                <w:rFonts w:ascii="仿宋_GB2312" w:hAnsi="仿宋_GB2312" w:eastAsia="仿宋_GB2312" w:cs="仿宋_GB2312"/>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集中实践课程教学</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31周</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13.04%</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第二课堂教育教学</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4.35%</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476.0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r>
              <w:rPr>
                <w:rFonts w:ascii="仿宋_GB2312" w:hAnsi="仿宋_GB2312" w:eastAsia="仿宋_GB2312" w:cs="仿宋_GB2312"/>
                <w:kern w:val="0"/>
                <w:szCs w:val="21"/>
              </w:rPr>
              <w:t>8.0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35.84%</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274.0</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17.0</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202.0</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w:t>
            </w:r>
            <w:r>
              <w:rPr>
                <w:rFonts w:ascii="仿宋_GB2312" w:hAnsi="仿宋_GB2312" w:cs="仿宋_GB2312"/>
                <w:kern w:val="0"/>
                <w:sz w:val="21"/>
                <w:szCs w:val="21"/>
              </w:rPr>
              <w:t>3.0</w:t>
            </w:r>
          </w:p>
        </w:tc>
      </w:tr>
    </w:tbl>
    <w:p>
      <w:pPr>
        <w:pStyle w:val="3"/>
        <w:tabs>
          <w:tab w:val="left" w:pos="900"/>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 xml:space="preserve">七、课堂教学计划表 </w:t>
      </w:r>
    </w:p>
    <w:tbl>
      <w:tblPr>
        <w:tblStyle w:val="6"/>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334"/>
        <w:gridCol w:w="810"/>
        <w:gridCol w:w="2229"/>
        <w:gridCol w:w="547"/>
        <w:gridCol w:w="547"/>
        <w:gridCol w:w="547"/>
        <w:gridCol w:w="547"/>
        <w:gridCol w:w="547"/>
        <w:gridCol w:w="547"/>
        <w:gridCol w:w="547"/>
        <w:gridCol w:w="551"/>
        <w:gridCol w:w="740"/>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tblHeader/>
          <w:jc w:val="center"/>
        </w:trPr>
        <w:tc>
          <w:tcPr>
            <w:tcW w:w="668"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    性质</w:t>
            </w:r>
          </w:p>
        </w:tc>
        <w:tc>
          <w:tcPr>
            <w:tcW w:w="81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代码</w:t>
            </w:r>
          </w:p>
        </w:tc>
        <w:tc>
          <w:tcPr>
            <w:tcW w:w="2229"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课程名称</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开课学期</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学分</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总学时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讲授</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实验</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实训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周学时</w:t>
            </w: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考核</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方式</w:t>
            </w:r>
          </w:p>
        </w:tc>
        <w:tc>
          <w:tcPr>
            <w:tcW w:w="740" w:type="dxa"/>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课程标识</w:t>
            </w:r>
          </w:p>
        </w:tc>
        <w:tc>
          <w:tcPr>
            <w:tcW w:w="741" w:type="dxa"/>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开课</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通识课程 ︵公共基础课︶</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军事理论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Theory of Military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思想道德与法治</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Ideological Morality and Rule of Law</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习近平与闽大</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Xi Jinping and Minjiang University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中国近现代史纲要</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Outline of Modern Chinese History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马克思主义基本原理</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The Basic Principles of Marxism</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毛泽东思想和中国特色社会主义理论体系概论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Introduction to Mao Zedong Thought and the Theoretical System of Socialism with Chinese Characteristics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习近平新时代中国特色社会主义思想概论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An Introduction to Xi Jinping Thought on Socialism with Chinese Characteristics for a New Era</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11030050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形势与政策</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Situation and Policy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大学英语3</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3</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11020084</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大学英语4</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大学体育3</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3</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11510014</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大学体育4</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11270130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Office高级应用</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Office Advanced Application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11600011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大学生职业生涯规划</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Undergraduate Students Career Planning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11600022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创新思维</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Innovative Thinking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11600031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创业实践</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Entrepreneurship Practice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rFonts w:hint="eastAsia"/>
                <w:kern w:val="0"/>
                <w:sz w:val="18"/>
                <w:szCs w:val="18"/>
              </w:rPr>
            </w:pPr>
            <w:r>
              <w:rPr>
                <w:kern w:val="0"/>
                <w:sz w:val="18"/>
                <w:szCs w:val="18"/>
              </w:rPr>
              <w:t>19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11600042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就业指导</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Employment Guidance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11630080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大学生心理健康</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Mental health of College Students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754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49</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选修</w:t>
            </w: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“四史”类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cs="仿宋_GB2312"/>
                <w:kern w:val="0"/>
                <w:sz w:val="18"/>
                <w:szCs w:val="18"/>
                <w:lang w:val="en-US" w:eastAsia="zh-CN"/>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国学博闻类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cs="仿宋_GB2312"/>
                <w:kern w:val="0"/>
                <w:sz w:val="18"/>
                <w:szCs w:val="18"/>
                <w:lang w:val="en-US" w:eastAsia="zh-CN"/>
              </w:rPr>
              <w:t>明治书院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公共艺术类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任意类别</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学科︵专业︶基础课程</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21250151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高等代数1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Higher Algebra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21250261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数学分析1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Mathematical Analysis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21250310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应用统计学导论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Introduction to Applied Statistics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21250130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程序设计基础</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Programming Foundation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21250153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高等代数2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Higher Algebra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21250262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数学分析2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Mathematical Analysis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21090170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概率论与数理统计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Theory of Probability and Mathematical Statistics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21250263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数学分析3</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Mathematical Analysis 3</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544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418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35</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专业课程</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31090030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统计建模与R软件</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Statistical Modeling and R Software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31090720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数据库技术</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Technology of Database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31250970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抽样调查</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Sampling Survey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31090020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Python与数据分析</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Python and Data Analysis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校企合作课,主要专业实验课,专创融合课,专业核心课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31090240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数据挖掘</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Date Mining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书证融通课,校企合作课,主要专业实验课,专创融合课,专业核心课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31250960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应用多元统计分析</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Applied Multivariate Statistical Analysis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31251010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应用回归分析</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Apply Regression Analysis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31251000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应用时间序列分析</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Applied time Series Analysis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270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28</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限选</w:t>
            </w: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金融计量分析</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0" w:type="dxa"/>
            <w:vAlign w:val="center"/>
          </w:tcPr>
          <w:p>
            <w:pPr>
              <w:widowControl/>
              <w:spacing w:line="240" w:lineRule="exact"/>
              <w:jc w:val="center"/>
              <w:rPr>
                <w:rFonts w:ascii="仿宋_GB2312" w:hAnsi="仿宋_GB2312" w:cs="仿宋_GB2312"/>
                <w:kern w:val="0"/>
                <w:sz w:val="18"/>
                <w:szCs w:val="18"/>
              </w:rPr>
            </w:pPr>
          </w:p>
        </w:tc>
        <w:tc>
          <w:tcPr>
            <w:tcW w:w="741" w:type="dxa"/>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33250340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微观经济学</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Microeconomics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33091150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量化投资技术</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Quantitative investment Technology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主要专业实验课,专创融合课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33251290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宏观经济学</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Macroeconomics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114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统计数据分析</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0" w:type="dxa"/>
            <w:vAlign w:val="center"/>
          </w:tcPr>
          <w:p>
            <w:pPr>
              <w:widowControl/>
              <w:spacing w:line="240" w:lineRule="exact"/>
              <w:jc w:val="center"/>
              <w:rPr>
                <w:rFonts w:ascii="仿宋_GB2312" w:hAnsi="仿宋_GB2312" w:cs="仿宋_GB2312"/>
                <w:kern w:val="0"/>
                <w:sz w:val="18"/>
                <w:szCs w:val="18"/>
              </w:rPr>
            </w:pPr>
          </w:p>
        </w:tc>
        <w:tc>
          <w:tcPr>
            <w:tcW w:w="741" w:type="dxa"/>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33090090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Linux系统应用</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Linux System Application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33251355</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大数据技术基础</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Large Data Technology Foundation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33091170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数据挖掘案例</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Data Mining Case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书证融通课,校企合作课,主要专业实验课,专创融合课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任选</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34251450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会计学原理</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Principle of Accounting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34251460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保险学原理</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Principle of Insurance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34251500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证券投资</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Securities Investment</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34251630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数据科学算法</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Data Science Algorithm</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34251640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离散数学</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Discrete Mathematics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34251650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算法与数据结构</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Algorithm and Data Structures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34251510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机器学习</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Machine Learning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34251520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寿险精算</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Life Insurance Actuary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34251660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数值分析</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Numerical Analysis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34251670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数学建模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Mathematics Modeling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专创融合课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34251690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面向对象程序设计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Object-Oriented Programming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34251700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统计计算</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Statistical Computing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34251710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Spark与大数据技术</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Spark and Big Data Technology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34251530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风险理论与非寿险精算</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Risk Theory and non-Life Insurance actuary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34251620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统计预测与决策</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Statistical Forecasting and Decision-Making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34251730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运筹与优化</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Operations Research and Optimization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34251740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数据可视化</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Data Visualization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34251770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金融工程</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Financial Engineering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34251760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神经网络与深度学习</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Neural Network and Deep Learning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34251780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统计质量管理</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Statistical Quality Management</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256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174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707" w:type="dxa"/>
            <w:gridSpan w:val="4"/>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合计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133</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2188</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1622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274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202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137</w:t>
            </w: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0" w:type="dxa"/>
            <w:vAlign w:val="center"/>
          </w:tcPr>
          <w:p>
            <w:pPr>
              <w:widowControl/>
              <w:spacing w:line="240" w:lineRule="exact"/>
              <w:jc w:val="center"/>
              <w:rPr>
                <w:rFonts w:ascii="仿宋_GB2312" w:hAnsi="仿宋_GB2312" w:cs="仿宋_GB2312"/>
                <w:kern w:val="0"/>
                <w:sz w:val="18"/>
                <w:szCs w:val="18"/>
              </w:rPr>
            </w:pPr>
          </w:p>
        </w:tc>
        <w:tc>
          <w:tcPr>
            <w:tcW w:w="741" w:type="dxa"/>
            <w:vAlign w:val="center"/>
          </w:tcPr>
          <w:p>
            <w:pPr>
              <w:widowControl/>
              <w:spacing w:line="240" w:lineRule="exact"/>
              <w:jc w:val="center"/>
              <w:rPr>
                <w:rFonts w:ascii="仿宋_GB2312" w:hAnsi="仿宋_GB2312" w:cs="仿宋_GB2312"/>
                <w:kern w:val="0"/>
                <w:sz w:val="18"/>
                <w:szCs w:val="18"/>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备注：</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1.本专业适合学生考取职业资格证书有：大数据应用开发（Python）证书、计算机技术与软件专业技术资格（水平）证书</w:t>
      </w:r>
      <w:r>
        <w:rPr>
          <w:rFonts w:hint="eastAsia" w:ascii="仿宋_GB2312" w:hAnsi="仿宋_GB2312" w:cs="仿宋_GB2312"/>
          <w:sz w:val="24"/>
          <w:lang w:eastAsia="zh-CN"/>
        </w:rPr>
        <w:t>。</w:t>
      </w:r>
      <w:bookmarkStart w:id="2" w:name="_GoBack"/>
      <w:bookmarkEnd w:id="2"/>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2.校企合作课程3门10.0学分，专创融合课程7门20.0学分。</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cs="仿宋_GB2312"/>
          <w:sz w:val="24"/>
        </w:rPr>
      </w:pPr>
      <w:r>
        <w:rPr>
          <w:rFonts w:hint="eastAsia" w:ascii="仿宋_GB2312" w:hAnsi="仿宋_GB2312" w:cs="仿宋_GB2312"/>
          <w:sz w:val="24"/>
        </w:rPr>
        <w:t>3.《习近平新时代中国特色社会主义思想概论》3学分，包括校本特色课程《习近平与闽大》1学分（理论与实践相结合）、《习近平新时代中国特色社会主义思想概论》2学分。</w:t>
      </w:r>
    </w:p>
    <w:p>
      <w:pPr>
        <w:pStyle w:val="3"/>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八、集中实践课程教学计划表</w:t>
      </w:r>
    </w:p>
    <w:tbl>
      <w:tblPr>
        <w:tblStyle w:val="6"/>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82"/>
        <w:gridCol w:w="2440"/>
        <w:gridCol w:w="720"/>
        <w:gridCol w:w="667"/>
        <w:gridCol w:w="692"/>
        <w:gridCol w:w="709"/>
        <w:gridCol w:w="1134"/>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1982" w:type="dxa"/>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课程代码</w:t>
            </w:r>
          </w:p>
        </w:tc>
        <w:tc>
          <w:tcPr>
            <w:tcW w:w="2440" w:type="dxa"/>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课程名称</w:t>
            </w:r>
          </w:p>
        </w:tc>
        <w:tc>
          <w:tcPr>
            <w:tcW w:w="720"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学期</w:t>
            </w:r>
          </w:p>
        </w:tc>
        <w:tc>
          <w:tcPr>
            <w:tcW w:w="667"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692"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修读</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性质</w:t>
            </w:r>
          </w:p>
        </w:tc>
        <w:tc>
          <w:tcPr>
            <w:tcW w:w="709"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安排</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周数</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标识</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41620020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毛泽东思想和中国特色社会主义理论体系概论实践</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Maoism and Practice of An Introduction to the Theoretical  System of Socialism with Chinese Characteristics</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4</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41530010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军事技能</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Military Skills</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1</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2.0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2</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军教室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41250400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专业见习</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Professional Probation</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6</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专业实习</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41250320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专业认知实习</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Professional Cognitive Practice</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4</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专业实习</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41250080</w:t>
            </w:r>
          </w:p>
        </w:tc>
        <w:tc>
          <w:tcPr>
            <w:tcW w:w="2440" w:type="dxa"/>
            <w:vAlign w:val="center"/>
          </w:tcPr>
          <w:p>
            <w:pPr>
              <w:pStyle w:val="2"/>
              <w:spacing w:after="0" w:line="220" w:lineRule="exact"/>
              <w:jc w:val="center"/>
              <w:rPr>
                <w:rFonts w:ascii="仿宋_GB2312" w:hAnsi="仿宋_GB2312" w:eastAsia="仿宋_GB2312" w:cs="仿宋_GB2312"/>
                <w:b w:val="0"/>
                <w:bCs w:val="0"/>
                <w:color w:val="0112F1"/>
                <w:kern w:val="0"/>
                <w:sz w:val="18"/>
                <w:szCs w:val="18"/>
              </w:rPr>
            </w:pPr>
            <w:r>
              <w:rPr>
                <w:rFonts w:hint="eastAsia" w:ascii="仿宋_GB2312" w:hAnsi="仿宋_GB2312" w:eastAsia="仿宋_GB2312" w:cs="仿宋_GB2312"/>
                <w:b w:val="0"/>
                <w:bCs w:val="0"/>
                <w:color w:val="0112F1"/>
                <w:kern w:val="0"/>
                <w:sz w:val="18"/>
                <w:szCs w:val="18"/>
              </w:rPr>
              <w:t>毕业论文（设计）</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b w:val="0"/>
                <w:bCs w:val="0"/>
                <w:color w:val="0112F1"/>
                <w:kern w:val="0"/>
                <w:sz w:val="18"/>
                <w:szCs w:val="18"/>
              </w:rPr>
              <w:t>Graduation Thesis(Design)</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8</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8.0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16</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专业实训</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41091172</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毕业实习</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Graduation Practice</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7</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8.0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8</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小学期课程</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41090892</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数据挖掘竞赛训练2</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Data Mining Competition Training 2</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6</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专业实训</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41090891</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数据挖掘竞赛训练1</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Data Mining Competition Training</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5</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专业实训</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4422" w:type="dxa"/>
            <w:gridSpan w:val="2"/>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Cs w:val="21"/>
              </w:rPr>
              <w:t>合计</w:t>
            </w:r>
          </w:p>
        </w:tc>
        <w:tc>
          <w:tcPr>
            <w:tcW w:w="720" w:type="dxa"/>
            <w:vAlign w:val="center"/>
          </w:tcPr>
          <w:p>
            <w:pPr>
              <w:pStyle w:val="2"/>
              <w:snapToGrid w:val="0"/>
              <w:spacing w:after="0"/>
              <w:jc w:val="center"/>
              <w:rPr>
                <w:rFonts w:ascii="仿宋_GB2312" w:hAnsi="仿宋_GB2312" w:eastAsia="仿宋_GB2312" w:cs="仿宋_GB2312"/>
                <w:kern w:val="0"/>
                <w:sz w:val="18"/>
                <w:szCs w:val="18"/>
              </w:rPr>
            </w:pPr>
          </w:p>
        </w:tc>
        <w:tc>
          <w:tcPr>
            <w:tcW w:w="667" w:type="dxa"/>
            <w:vAlign w:val="center"/>
          </w:tcPr>
          <w:p>
            <w:pPr>
              <w:pStyle w:val="2"/>
              <w:snapToGrid w:val="0"/>
              <w:spacing w:after="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21</w:t>
            </w:r>
          </w:p>
        </w:tc>
        <w:tc>
          <w:tcPr>
            <w:tcW w:w="692" w:type="dxa"/>
            <w:vAlign w:val="center"/>
          </w:tcPr>
          <w:p>
            <w:pPr>
              <w:pStyle w:val="2"/>
              <w:snapToGrid w:val="0"/>
              <w:spacing w:after="0"/>
              <w:jc w:val="center"/>
              <w:rPr>
                <w:rFonts w:ascii="仿宋_GB2312" w:hAnsi="仿宋_GB2312" w:eastAsia="仿宋_GB2312" w:cs="仿宋_GB2312"/>
                <w:kern w:val="0"/>
                <w:sz w:val="18"/>
                <w:szCs w:val="18"/>
              </w:rPr>
            </w:pPr>
          </w:p>
        </w:tc>
        <w:tc>
          <w:tcPr>
            <w:tcW w:w="709" w:type="dxa"/>
            <w:vAlign w:val="center"/>
          </w:tcPr>
          <w:p>
            <w:pPr>
              <w:pStyle w:val="2"/>
              <w:snapToGrid w:val="0"/>
              <w:spacing w:after="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31</w:t>
            </w:r>
          </w:p>
        </w:tc>
        <w:tc>
          <w:tcPr>
            <w:tcW w:w="1134" w:type="dxa"/>
            <w:vAlign w:val="center"/>
          </w:tcPr>
          <w:p>
            <w:pPr>
              <w:pStyle w:val="2"/>
              <w:snapToGrid w:val="0"/>
              <w:spacing w:after="0"/>
              <w:jc w:val="center"/>
              <w:rPr>
                <w:rFonts w:ascii="仿宋_GB2312" w:hAnsi="仿宋_GB2312" w:eastAsia="仿宋_GB2312" w:cs="仿宋_GB2312"/>
                <w:kern w:val="0"/>
                <w:sz w:val="18"/>
                <w:szCs w:val="18"/>
              </w:rPr>
            </w:pPr>
          </w:p>
        </w:tc>
        <w:tc>
          <w:tcPr>
            <w:tcW w:w="1605" w:type="dxa"/>
            <w:vAlign w:val="center"/>
          </w:tcPr>
          <w:p>
            <w:pPr>
              <w:pStyle w:val="2"/>
              <w:snapToGrid w:val="0"/>
              <w:spacing w:after="0"/>
              <w:jc w:val="center"/>
              <w:rPr>
                <w:rFonts w:ascii="仿宋_GB2312" w:hAnsi="仿宋_GB2312" w:eastAsia="仿宋_GB2312" w:cs="仿宋_GB2312"/>
                <w:kern w:val="0"/>
                <w:sz w:val="18"/>
                <w:szCs w:val="18"/>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exact"/>
        <w:ind w:hanging="8"/>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备注：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《毕业实习》利用寒假时段延长第7学期实习时间，原计划安排8周，实际安排9周。</w:t>
      </w:r>
    </w:p>
    <w:p>
      <w:pPr>
        <w:spacing w:line="460" w:lineRule="exact"/>
        <w:ind w:firstLine="560" w:firstLineChars="200"/>
        <w:rPr>
          <w:rFonts w:eastAsia="黑体"/>
          <w:bCs/>
          <w:color w:val="000000"/>
          <w:sz w:val="28"/>
          <w:szCs w:val="28"/>
        </w:rPr>
      </w:pPr>
      <w:r>
        <w:rPr>
          <w:rFonts w:hint="eastAsia" w:eastAsia="黑体"/>
          <w:bCs/>
          <w:color w:val="000000"/>
          <w:sz w:val="28"/>
          <w:szCs w:val="28"/>
        </w:rPr>
        <w:t>九、第二课堂教育教学安排表</w:t>
      </w:r>
    </w:p>
    <w:tbl>
      <w:tblPr>
        <w:tblStyle w:val="6"/>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84"/>
        <w:gridCol w:w="3756"/>
        <w:gridCol w:w="716"/>
        <w:gridCol w:w="1053"/>
        <w:gridCol w:w="1017"/>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课程代码</w:t>
            </w:r>
          </w:p>
        </w:tc>
        <w:tc>
          <w:tcPr>
            <w:tcW w:w="3270"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课程名称</w:t>
            </w:r>
          </w:p>
        </w:tc>
        <w:tc>
          <w:tcPr>
            <w:tcW w:w="623"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学分</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修读性质</w:t>
            </w:r>
          </w:p>
        </w:tc>
        <w:tc>
          <w:tcPr>
            <w:tcW w:w="885"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开课</w:t>
            </w:r>
          </w:p>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单位</w:t>
            </w:r>
          </w:p>
        </w:tc>
        <w:tc>
          <w:tcPr>
            <w:tcW w:w="979"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51600090</w:t>
            </w:r>
          </w:p>
        </w:tc>
        <w:tc>
          <w:tcPr>
            <w:tcW w:w="3270"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劳动教育</w:t>
            </w:r>
          </w:p>
          <w:p>
            <w:pPr>
              <w:spacing w:line="220" w:lineRule="exact"/>
              <w:jc w:val="center"/>
              <w:rPr>
                <w:rFonts w:ascii="仿宋_GB2312" w:hAnsi="仿宋_GB2312" w:cs="仿宋_GB2312"/>
                <w:color w:val="000000"/>
                <w:sz w:val="21"/>
                <w:szCs w:val="21"/>
              </w:rPr>
            </w:pPr>
            <w:r>
              <w:rPr>
                <w:color w:val="000000"/>
                <w:kern w:val="0"/>
                <w:sz w:val="21"/>
                <w:szCs w:val="21"/>
              </w:rPr>
              <w:t>Labor Education</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restart"/>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三创学院</w:t>
            </w:r>
          </w:p>
        </w:tc>
        <w:tc>
          <w:tcPr>
            <w:tcW w:w="979" w:type="dxa"/>
            <w:vMerge w:val="restart"/>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参照《闽江学院“第二课堂成绩单”制度实施细则（202</w:t>
            </w:r>
            <w:r>
              <w:rPr>
                <w:rFonts w:hint="eastAsia" w:ascii="仿宋_GB2312" w:hAnsi="仿宋_GB2312" w:cs="仿宋_GB2312"/>
                <w:color w:val="000000"/>
                <w:sz w:val="21"/>
                <w:szCs w:val="21"/>
                <w:lang w:val="en-US" w:eastAsia="zh-CN"/>
              </w:rPr>
              <w:t>2</w:t>
            </w:r>
            <w:r>
              <w:rPr>
                <w:rFonts w:hint="eastAsia" w:ascii="仿宋_GB2312" w:hAnsi="仿宋_GB2312" w:cs="仿宋_GB2312"/>
                <w:color w:val="00000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51600070</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专业教育实践</w:t>
            </w:r>
          </w:p>
          <w:p>
            <w:pPr>
              <w:spacing w:line="220" w:lineRule="exact"/>
              <w:jc w:val="center"/>
              <w:rPr>
                <w:rFonts w:ascii="仿宋_GB2312" w:hAnsi="仿宋_GB2312" w:cs="仿宋_GB2312"/>
                <w:color w:val="000000"/>
                <w:kern w:val="0"/>
                <w:sz w:val="21"/>
                <w:szCs w:val="21"/>
              </w:rPr>
            </w:pPr>
            <w:r>
              <w:rPr>
                <w:color w:val="000000"/>
                <w:kern w:val="0"/>
                <w:sz w:val="21"/>
                <w:szCs w:val="21"/>
              </w:rPr>
              <w:t> Professional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51600051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美育实践</w:t>
            </w:r>
          </w:p>
          <w:p>
            <w:pPr>
              <w:spacing w:line="220" w:lineRule="exact"/>
              <w:jc w:val="center"/>
              <w:rPr>
                <w:rFonts w:ascii="仿宋_GB2312" w:hAnsi="仿宋_GB2312" w:cs="仿宋_GB2312"/>
                <w:color w:val="000000"/>
                <w:kern w:val="0"/>
                <w:sz w:val="21"/>
                <w:szCs w:val="21"/>
              </w:rPr>
            </w:pPr>
            <w:r>
              <w:rPr>
                <w:color w:val="000000"/>
                <w:kern w:val="0"/>
                <w:sz w:val="21"/>
                <w:szCs w:val="21"/>
              </w:rPr>
              <w:t> Aesthetic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51600041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体育实践</w:t>
            </w:r>
          </w:p>
          <w:p>
            <w:pPr>
              <w:spacing w:line="220" w:lineRule="exact"/>
              <w:jc w:val="center"/>
              <w:rPr>
                <w:rFonts w:ascii="仿宋_GB2312" w:hAnsi="仿宋_GB2312" w:cs="仿宋_GB2312"/>
                <w:color w:val="000000"/>
                <w:kern w:val="0"/>
                <w:sz w:val="21"/>
                <w:szCs w:val="21"/>
              </w:rPr>
            </w:pPr>
            <w:r>
              <w:rPr>
                <w:color w:val="000000"/>
                <w:kern w:val="0"/>
                <w:sz w:val="21"/>
                <w:szCs w:val="21"/>
              </w:rPr>
              <w:t> Practice In Sports</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51600031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创新创业教育实践</w:t>
            </w:r>
          </w:p>
          <w:p>
            <w:pPr>
              <w:spacing w:line="220" w:lineRule="exact"/>
              <w:jc w:val="center"/>
              <w:rPr>
                <w:rFonts w:ascii="仿宋_GB2312" w:hAnsi="仿宋_GB2312" w:cs="仿宋_GB2312"/>
                <w:color w:val="000000"/>
                <w:kern w:val="0"/>
                <w:sz w:val="21"/>
                <w:szCs w:val="21"/>
              </w:rPr>
            </w:pPr>
            <w:r>
              <w:rPr>
                <w:color w:val="000000"/>
                <w:kern w:val="0"/>
                <w:sz w:val="21"/>
                <w:szCs w:val="21"/>
              </w:rPr>
              <w:t> Innovation and Entrepreneurship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51600021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德育实践</w:t>
            </w:r>
          </w:p>
          <w:p>
            <w:pPr>
              <w:spacing w:line="220" w:lineRule="exact"/>
              <w:jc w:val="center"/>
              <w:rPr>
                <w:rFonts w:ascii="仿宋_GB2312" w:hAnsi="仿宋_GB2312" w:cs="仿宋_GB2312"/>
                <w:color w:val="000000"/>
                <w:kern w:val="0"/>
                <w:sz w:val="21"/>
                <w:szCs w:val="21"/>
              </w:rPr>
            </w:pPr>
            <w:r>
              <w:rPr>
                <w:color w:val="000000"/>
                <w:kern w:val="0"/>
                <w:sz w:val="21"/>
                <w:szCs w:val="21"/>
              </w:rPr>
              <w:t> Moral Education Practice</w:t>
            </w:r>
          </w:p>
        </w:tc>
        <w:tc>
          <w:tcPr>
            <w:tcW w:w="623" w:type="dxa"/>
            <w:vAlign w:val="center"/>
          </w:tcPr>
          <w:p>
            <w:pPr>
              <w:spacing w:line="320" w:lineRule="exact"/>
              <w:jc w:val="center"/>
              <w:rPr>
                <w:color w:val="000000"/>
                <w:sz w:val="21"/>
                <w:szCs w:val="21"/>
              </w:rPr>
            </w:pPr>
            <w:r>
              <w:rPr>
                <w:color w:val="000000"/>
                <w:sz w:val="21"/>
                <w:szCs w:val="21"/>
              </w:rPr>
              <w:t>2.0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5259" w:type="dxa"/>
            <w:gridSpan w:val="2"/>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合计</w:t>
            </w:r>
          </w:p>
        </w:tc>
        <w:tc>
          <w:tcPr>
            <w:tcW w:w="623" w:type="dxa"/>
            <w:vAlign w:val="center"/>
          </w:tcPr>
          <w:p>
            <w:pPr>
              <w:snapToGrid w:val="0"/>
              <w:jc w:val="center"/>
              <w:rPr>
                <w:color w:val="000000"/>
                <w:sz w:val="21"/>
                <w:szCs w:val="21"/>
              </w:rPr>
            </w:pPr>
            <w:r>
              <w:rPr>
                <w:color w:val="000000"/>
                <w:sz w:val="21"/>
                <w:szCs w:val="21"/>
              </w:rPr>
              <w:t>7</w:t>
            </w:r>
          </w:p>
        </w:tc>
        <w:tc>
          <w:tcPr>
            <w:tcW w:w="917" w:type="dxa"/>
            <w:vAlign w:val="center"/>
          </w:tcPr>
          <w:p>
            <w:pPr>
              <w:snapToGrid w:val="0"/>
              <w:jc w:val="center"/>
              <w:rPr>
                <w:rFonts w:ascii="仿宋_GB2312" w:hAnsi="仿宋_GB2312" w:cs="仿宋_GB2312"/>
                <w:color w:val="000000"/>
                <w:sz w:val="21"/>
                <w:szCs w:val="21"/>
              </w:rPr>
            </w:pPr>
          </w:p>
        </w:tc>
        <w:tc>
          <w:tcPr>
            <w:tcW w:w="885" w:type="dxa"/>
            <w:vAlign w:val="center"/>
          </w:tcPr>
          <w:p>
            <w:pPr>
              <w:snapToGrid w:val="0"/>
              <w:jc w:val="center"/>
              <w:rPr>
                <w:rFonts w:ascii="仿宋_GB2312" w:hAnsi="仿宋_GB2312" w:cs="仿宋_GB2312"/>
                <w:color w:val="000000"/>
                <w:sz w:val="21"/>
                <w:szCs w:val="21"/>
              </w:rPr>
            </w:pPr>
          </w:p>
        </w:tc>
        <w:tc>
          <w:tcPr>
            <w:tcW w:w="979" w:type="dxa"/>
            <w:vAlign w:val="center"/>
          </w:tcPr>
          <w:p>
            <w:pPr>
              <w:snapToGrid w:val="0"/>
              <w:jc w:val="center"/>
              <w:rPr>
                <w:rFonts w:ascii="仿宋_GB2312" w:hAnsi="仿宋_GB2312" w:cs="仿宋_GB2312"/>
                <w:color w:val="000000"/>
                <w:sz w:val="21"/>
                <w:szCs w:val="21"/>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MjhmOWRiYmY3NWJiN2E5N2Q2Njk3YjVkMDYyNmYifQ=="/>
  </w:docVars>
  <w:rsids>
    <w:rsidRoot w:val="260828BF"/>
    <w:rsid w:val="260828BF"/>
    <w:rsid w:val="3979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sz w:val="21"/>
      <w:szCs w:val="24"/>
    </w:rPr>
  </w:style>
  <w:style w:type="paragraph" w:styleId="3">
    <w:name w:val="List 2"/>
    <w:basedOn w:val="1"/>
    <w:qFormat/>
    <w:uiPriority w:val="0"/>
    <w:pPr>
      <w:ind w:left="100" w:leftChars="200" w:hanging="200" w:hangingChars="200"/>
    </w:pPr>
    <w:rPr>
      <w:rFonts w:eastAsia="宋体"/>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5726</Words>
  <Characters>8648</Characters>
  <Lines>0</Lines>
  <Paragraphs>0</Paragraphs>
  <TotalTime>2</TotalTime>
  <ScaleCrop>false</ScaleCrop>
  <LinksUpToDate>false</LinksUpToDate>
  <CharactersWithSpaces>8883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2022-11-04T14:34:00Z</dcterms:created>
  <dc:creator>王薇</dc:creator>
  <cp:lastModifiedBy>柠七i</cp:lastModifiedBy>
  <dcterms:modified xsi:type="dcterms:W3CDTF">2022-11-06T10:58:12Z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9A088D6FC6884A5AB4AFB59406C08F6E</vt:lpwstr>
  </property>
</Properties>
</file>