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after="0"/>
        <w:ind w:firstLine="428" w:firstLineChars="98"/>
        <w:jc w:val="center"/>
        <w:rPr>
          <w:rFonts w:ascii="仿宋_GB2312"/>
          <w:b/>
          <w:bCs/>
        </w:rPr>
      </w:pPr>
      <w:r>
        <w:rPr>
          <w:rFonts w:hint="eastAsia" w:ascii="方正小标宋简体" w:hAnsi="黑体" w:eastAsia="方正小标宋简体"/>
          <w:bCs/>
          <w:sz w:val="44"/>
          <w:szCs w:val="36"/>
        </w:rPr>
        <w:t>2022级软件工程（专升本）.本科专业培养方案</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35"/>
        <w:gridCol w:w="46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专业名称：软件工程</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专业代码：080902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所属学科门类：工学</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授予学位：工学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学制：二年</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所属学院：</w:t>
            </w:r>
            <w:r>
              <w:rPr>
                <w:rFonts w:hint="eastAsia" w:ascii="仿宋_GB2312"/>
                <w:b/>
                <w:bCs/>
                <w:sz w:val="20"/>
                <w:szCs w:val="20"/>
              </w:rPr>
              <w:t>数学与数据科学学院（软件学院）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毕业最低总学分：86.5学分</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总学时：</w:t>
            </w:r>
            <w:r>
              <w:rPr>
                <w:rFonts w:hint="eastAsia" w:ascii="仿宋_GB2312"/>
                <w:b/>
                <w:bCs/>
                <w:sz w:val="28"/>
                <w:szCs w:val="28"/>
                <w:lang w:val="en-US" w:eastAsia="zh-CN"/>
              </w:rPr>
              <w:t>1126</w:t>
            </w:r>
            <w:r>
              <w:rPr>
                <w:rFonts w:hint="eastAsia" w:ascii="仿宋_GB2312"/>
                <w:b/>
                <w:bCs/>
                <w:sz w:val="28"/>
                <w:szCs w:val="28"/>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专业负责人：余兆钗</w:t>
            </w:r>
          </w:p>
        </w:tc>
        <w:tc>
          <w:tcPr>
            <w:tcW w:w="4956" w:type="dxa"/>
          </w:tcPr>
          <w:p>
            <w:pPr>
              <w:spacing w:line="460" w:lineRule="exact"/>
              <w:ind w:firstLine="276" w:firstLineChars="100"/>
              <w:rPr>
                <w:rFonts w:ascii="仿宋_GB2312"/>
                <w:b/>
                <w:bCs/>
                <w:sz w:val="28"/>
                <w:szCs w:val="28"/>
              </w:rPr>
            </w:pPr>
            <w:r>
              <w:rPr>
                <w:rFonts w:hint="eastAsia" w:ascii="仿宋_GB2312"/>
                <w:b/>
                <w:bCs/>
                <w:sz w:val="28"/>
                <w:szCs w:val="28"/>
              </w:rPr>
              <w:t>学院负责人：林文如</w:t>
            </w:r>
          </w:p>
        </w:tc>
      </w:tr>
    </w:tbl>
    <w:p>
      <w:pPr>
        <w:pStyle w:val="4"/>
        <w:spacing w:line="460" w:lineRule="exact"/>
        <w:ind w:left="98" w:leftChars="0" w:firstLine="406" w:firstLineChars="0"/>
        <w:rPr>
          <w:rFonts w:ascii="仿宋_GB2312" w:hAnsi="宋体" w:eastAsia="仿宋_GB2312"/>
          <w:sz w:val="28"/>
          <w:szCs w:val="28"/>
        </w:rPr>
      </w:pPr>
    </w:p>
    <w:p>
      <w:pPr>
        <w:pStyle w:val="4"/>
        <w:spacing w:line="460" w:lineRule="exact"/>
        <w:ind w:left="98" w:leftChars="0" w:firstLine="406" w:firstLineChars="0"/>
        <w:rPr>
          <w:rFonts w:ascii="仿宋_GB2312" w:hAnsi="宋体" w:eastAsia="仿宋_GB2312"/>
          <w:sz w:val="28"/>
          <w:szCs w:val="28"/>
        </w:rPr>
      </w:pPr>
    </w:p>
    <w:p>
      <w:pPr>
        <w:pStyle w:val="4"/>
        <w:spacing w:line="460" w:lineRule="exact"/>
        <w:ind w:left="0" w:leftChars="0" w:firstLine="552" w:firstLineChars="200"/>
        <w:rPr>
          <w:rFonts w:ascii="黑体" w:hAnsi="宋体" w:eastAsia="黑体"/>
          <w:bCs/>
          <w:sz w:val="28"/>
          <w:szCs w:val="28"/>
        </w:rPr>
      </w:pPr>
      <w:r>
        <w:rPr>
          <w:rFonts w:hint="eastAsia" w:ascii="黑体" w:hAnsi="宋体" w:eastAsia="黑体"/>
          <w:bCs/>
          <w:sz w:val="28"/>
          <w:szCs w:val="28"/>
        </w:rPr>
        <w:t>一、培养目标</w:t>
      </w:r>
    </w:p>
    <w:p>
      <w:pPr>
        <w:tabs>
          <w:tab w:val="left" w:pos="840"/>
        </w:tabs>
        <w:spacing w:line="460" w:lineRule="exact"/>
        <w:ind w:firstLine="552" w:firstLineChars="200"/>
        <w:rPr>
          <w:rFonts w:hint="eastAsia" w:ascii="仿宋_GB2312"/>
          <w:bCs/>
          <w:sz w:val="28"/>
          <w:szCs w:val="28"/>
        </w:rPr>
      </w:pPr>
      <w:r>
        <w:rPr>
          <w:rFonts w:hint="eastAsia" w:ascii="仿宋_GB2312"/>
          <w:bCs/>
          <w:sz w:val="28"/>
          <w:szCs w:val="28"/>
          <w:lang w:val="en-US" w:eastAsia="zh-CN"/>
        </w:rPr>
        <w:t xml:space="preserve">本专业以国民新经济发展对软件人才的需要为导向，培养德、智、体、美、劳等全面发展，践行社会主义核心价值观，具有良好的职业道德、人文素养和社会责任感；掌握数学、自然科学的基础知识，掌握计算系统与软件工程的基本理论、基本知识，了解和紧跟软件技术发展；具有较强的工程实践能力和软件系统开发管理能力，能够构造复杂软件系统；具有良好的沟通和团队协作能力，能够在跨文化背景下交流；具有计算思维能力，能够综合运用先进的软件工程方法、技术和工具解决复杂软件工程问题；能够在IT企业、各行各业的信息化部门从事复杂软件系统的分析、设计、开发、测试、部署和运维等工作，且具有终身学校能力、创新精神和国际视野的工程型、应用型高级专门人才。 </w:t>
      </w:r>
    </w:p>
    <w:p>
      <w:pPr>
        <w:tabs>
          <w:tab w:val="left" w:pos="840"/>
        </w:tabs>
        <w:spacing w:line="460" w:lineRule="exact"/>
        <w:ind w:firstLine="552" w:firstLineChars="200"/>
        <w:rPr>
          <w:rFonts w:ascii="仿宋_GB2312"/>
          <w:sz w:val="28"/>
          <w:szCs w:val="28"/>
        </w:rPr>
      </w:pPr>
      <w:r>
        <w:rPr>
          <w:rFonts w:hint="eastAsia" w:ascii="仿宋_GB2312"/>
          <w:bCs/>
          <w:sz w:val="28"/>
          <w:szCs w:val="28"/>
          <w:lang w:val="en-US" w:eastAsia="zh-CN"/>
        </w:rPr>
        <w:t xml:space="preserve">本专业培养目标可具体为以下5个方面： </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1：专业技能：能够综合运用数学、自然科学、人文社科以及计算机与软件工程的知识，考虑社会、文化、法律、环境和可持续发展等多种非技术因素，灵活运用现代计算机与软件工具，具有创新精神和技术探究意识，能够解决软件工程领域的复杂工程问题，能够完成复杂软件系统的分析与设计、程序开发、软件测试、系统部署及运维等工作。</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目标2：职业素质：具有良好的职业道德及社会责任感，在工作中理解并遵守职业规范，在工程实践中能坚持公众利益优先，热爱社会主义祖国。</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目标3：团队与管理能力：具有良好的沟通和团队协作能力，能够在跨文化背景下就复杂软件工程问题与团队成员、同行及用户进行有效沟通和交流。</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目标4：职业发展：具有软件系统开发管理能力，能够在软件工程及相关交叉学科背景下的团队中承担负责人的角色，运用项目管理方法和工具，组织软件工程项目的实施。</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目标5：国际视野与终身学习：具有国际视野和终身学习能力, 对软件工程领域的前沿技术有深入了解，能够掌握国内外最新技术，并对行业技术发展趋势有前瞻性。</w:t>
      </w:r>
    </w:p>
    <w:p>
      <w:pPr>
        <w:pStyle w:val="4"/>
        <w:spacing w:line="460" w:lineRule="exact"/>
        <w:ind w:left="0" w:leftChars="0" w:firstLine="552" w:firstLineChars="200"/>
        <w:rPr>
          <w:rFonts w:ascii="黑体" w:hAnsi="黑体" w:eastAsia="黑体" w:cs="仿宋_GB2312"/>
          <w:sz w:val="28"/>
          <w:szCs w:val="28"/>
        </w:rPr>
      </w:pPr>
      <w:r>
        <w:rPr>
          <w:rFonts w:hint="eastAsia" w:ascii="黑体" w:hAnsi="黑体" w:eastAsia="黑体" w:cs="仿宋_GB2312"/>
          <w:sz w:val="28"/>
          <w:szCs w:val="28"/>
        </w:rPr>
        <w:t>二、毕业要求</w:t>
      </w:r>
    </w:p>
    <w:p>
      <w:pPr>
        <w:spacing w:line="460" w:lineRule="exact"/>
        <w:ind w:firstLine="552" w:firstLineChars="200"/>
        <w:rPr>
          <w:rFonts w:ascii="仿宋_GB2312"/>
          <w:color w:val="0000FF"/>
          <w:sz w:val="28"/>
          <w:szCs w:val="28"/>
        </w:rPr>
      </w:pPr>
      <w:r>
        <w:rPr>
          <w:rFonts w:hint="eastAsia"/>
          <w:sz w:val="28"/>
          <w:szCs w:val="28"/>
        </w:rPr>
        <w:t xml:space="preserve">根据工程教育认证毕业要求框架，结合本专业培养目标，通过对毕业要求12 条的每一个毕业要求指标点进行分解，本专业学生在经过两年的系统学习后，应能达到以下12 条毕业要求：  </w:t>
      </w:r>
    </w:p>
    <w:p>
      <w:pPr>
        <w:pStyle w:val="4"/>
        <w:spacing w:line="460" w:lineRule="exact"/>
        <w:ind w:left="0" w:leftChars="0" w:firstLine="552"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通过专业学习，毕业生应获得以下几个方面的知识、能力和素质: </w:t>
      </w:r>
    </w:p>
    <w:p>
      <w:pPr>
        <w:spacing w:line="460" w:lineRule="exact"/>
        <w:ind w:firstLine="552" w:firstLineChars="200"/>
        <w:rPr>
          <w:sz w:val="28"/>
          <w:szCs w:val="28"/>
        </w:rPr>
      </w:pPr>
      <w:r>
        <w:rPr>
          <w:rFonts w:hint="eastAsia"/>
          <w:sz w:val="28"/>
          <w:szCs w:val="28"/>
        </w:rPr>
        <w:t>1.工程知识：能够将数学、自然科学、计算机科学及软件工程知识，用于解决计算模型建立与求解、软件系统推演与分析、软件解决方案设计与综合等复杂工程问题。</w:t>
      </w:r>
    </w:p>
    <w:p>
      <w:pPr>
        <w:spacing w:line="460" w:lineRule="exact"/>
        <w:ind w:firstLine="552" w:firstLineChars="200"/>
        <w:rPr>
          <w:sz w:val="28"/>
          <w:szCs w:val="28"/>
        </w:rPr>
      </w:pPr>
      <w:r>
        <w:rPr>
          <w:rFonts w:hint="eastAsia"/>
          <w:sz w:val="28"/>
          <w:szCs w:val="28"/>
        </w:rPr>
        <w:t>2.问题分析：能够应用数学、自然科学、计算机科学原理及软件工程方法与技术，正确表述软件工程应用领域的复杂工程问题，探究多种软件系统解决方案，并获得一个经济有效的解决方案。</w:t>
      </w:r>
    </w:p>
    <w:p>
      <w:pPr>
        <w:spacing w:line="460" w:lineRule="exact"/>
        <w:ind w:firstLine="552" w:firstLineChars="200"/>
        <w:rPr>
          <w:sz w:val="28"/>
          <w:szCs w:val="28"/>
        </w:rPr>
      </w:pPr>
      <w:r>
        <w:rPr>
          <w:rFonts w:hint="eastAsia"/>
          <w:sz w:val="28"/>
          <w:szCs w:val="28"/>
        </w:rPr>
        <w:t>3.设计/开发解决方案：能够针对软件系统需求规格说明的要求，设计软件系统的解决方案，构造软件系统，并能够在工程实践过程中体现创新意识，考虑社会、健康、安全、法律、文化以及环境等因素。</w:t>
      </w:r>
    </w:p>
    <w:p>
      <w:pPr>
        <w:spacing w:line="460" w:lineRule="exact"/>
        <w:ind w:firstLine="552" w:firstLineChars="200"/>
        <w:rPr>
          <w:sz w:val="28"/>
          <w:szCs w:val="28"/>
        </w:rPr>
      </w:pPr>
      <w:r>
        <w:rPr>
          <w:rFonts w:hint="eastAsia"/>
          <w:sz w:val="28"/>
          <w:szCs w:val="28"/>
        </w:rPr>
        <w:t>4.研究：能够基于计算机科学原理、软件工程技术文档和软件源代码，对复杂软件系统解决方案进行研究，得到关于软件系统解决方案有效性和质量的结论。</w:t>
      </w:r>
    </w:p>
    <w:p>
      <w:pPr>
        <w:spacing w:line="460" w:lineRule="exact"/>
        <w:ind w:firstLine="552" w:firstLineChars="200"/>
        <w:rPr>
          <w:sz w:val="28"/>
          <w:szCs w:val="28"/>
        </w:rPr>
      </w:pPr>
      <w:r>
        <w:rPr>
          <w:rFonts w:hint="eastAsia"/>
          <w:sz w:val="28"/>
          <w:szCs w:val="28"/>
        </w:rPr>
        <w:t>5.使用现代工具：能够针对复杂软件工程问题，选择、使用或开发恰当的计算机与软件工具，以及运用其它技术或资源，进行软件系统的分析、设计、开发、测试，提高软件工程实践的效率，并能够理解其局限性。</w:t>
      </w:r>
    </w:p>
    <w:p>
      <w:pPr>
        <w:spacing w:line="460" w:lineRule="exact"/>
        <w:ind w:firstLine="552" w:firstLineChars="200"/>
        <w:rPr>
          <w:sz w:val="28"/>
          <w:szCs w:val="28"/>
        </w:rPr>
      </w:pPr>
      <w:r>
        <w:rPr>
          <w:rFonts w:hint="eastAsia"/>
          <w:sz w:val="28"/>
          <w:szCs w:val="28"/>
        </w:rPr>
        <w:t>6.工程与社会：能够基于工程相关背景知识进行合理分析，评价软件工程解决方案和工程实践对社会、健康、安全、法律以及文化的影响，并理解应承担的责任。</w:t>
      </w:r>
    </w:p>
    <w:p>
      <w:pPr>
        <w:spacing w:line="460" w:lineRule="exact"/>
        <w:ind w:firstLine="552" w:firstLineChars="200"/>
        <w:rPr>
          <w:sz w:val="28"/>
          <w:szCs w:val="28"/>
        </w:rPr>
      </w:pPr>
      <w:r>
        <w:rPr>
          <w:rFonts w:hint="eastAsia"/>
          <w:sz w:val="28"/>
          <w:szCs w:val="28"/>
        </w:rPr>
        <w:t>7.环境和可持续发展：能够在软件工程实践的过程中理解和评价其对环境和可持续发展的影响。</w:t>
      </w:r>
    </w:p>
    <w:p>
      <w:pPr>
        <w:spacing w:line="460" w:lineRule="exact"/>
        <w:ind w:firstLine="552" w:firstLineChars="200"/>
        <w:rPr>
          <w:sz w:val="28"/>
          <w:szCs w:val="28"/>
        </w:rPr>
      </w:pPr>
      <w:r>
        <w:rPr>
          <w:rFonts w:hint="eastAsia"/>
          <w:sz w:val="28"/>
          <w:szCs w:val="28"/>
        </w:rPr>
        <w:t>8.职业规范：具有人文社会科学素养、社会责任感，能够在软件工程实践中理解并遵守职业道德和规范，履行责任。</w:t>
      </w:r>
    </w:p>
    <w:p>
      <w:pPr>
        <w:spacing w:line="460" w:lineRule="exact"/>
        <w:ind w:firstLine="552" w:firstLineChars="200"/>
        <w:rPr>
          <w:sz w:val="28"/>
          <w:szCs w:val="28"/>
        </w:rPr>
      </w:pPr>
      <w:r>
        <w:rPr>
          <w:rFonts w:hint="eastAsia"/>
          <w:sz w:val="28"/>
          <w:szCs w:val="28"/>
        </w:rPr>
        <w:t>9.个人和团队：能够在多学科背景下的团队中承担个体、团队成员以及负责人的角色。</w:t>
      </w:r>
    </w:p>
    <w:p>
      <w:pPr>
        <w:spacing w:line="460" w:lineRule="exact"/>
        <w:ind w:firstLine="552" w:firstLineChars="200"/>
        <w:rPr>
          <w:sz w:val="28"/>
          <w:szCs w:val="28"/>
        </w:rPr>
      </w:pPr>
      <w:r>
        <w:rPr>
          <w:rFonts w:hint="eastAsia"/>
          <w:sz w:val="28"/>
          <w:szCs w:val="28"/>
        </w:rPr>
        <w:t>10.沟通：能够就复杂工程问题与业界同行及社会公众进行有效沟通和交流，并具备一定的国际视野，能够在跨文化背景下进行沟通和交流。</w:t>
      </w:r>
    </w:p>
    <w:p>
      <w:pPr>
        <w:spacing w:line="460" w:lineRule="exact"/>
        <w:ind w:firstLine="552" w:firstLineChars="200"/>
        <w:rPr>
          <w:sz w:val="28"/>
          <w:szCs w:val="28"/>
        </w:rPr>
      </w:pPr>
      <w:r>
        <w:rPr>
          <w:rFonts w:hint="eastAsia"/>
          <w:sz w:val="28"/>
          <w:szCs w:val="28"/>
        </w:rPr>
        <w:t>11.项目管理：能在多学科环境中应用工程项目管理原理与经济决策方法，保证软件项目目标的实现。</w:t>
      </w:r>
    </w:p>
    <w:p>
      <w:pPr>
        <w:spacing w:line="460" w:lineRule="exact"/>
        <w:ind w:firstLine="552" w:firstLineChars="200"/>
        <w:rPr>
          <w:sz w:val="28"/>
          <w:szCs w:val="28"/>
        </w:rPr>
      </w:pPr>
      <w:r>
        <w:rPr>
          <w:rFonts w:hint="eastAsia"/>
          <w:sz w:val="28"/>
          <w:szCs w:val="28"/>
        </w:rPr>
        <w:t>12.终身学习：具有自主学习和终身学习的意识，有不断学习和适应发展的能力。</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8"/>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79"/>
        <w:gridCol w:w="1559"/>
        <w:gridCol w:w="1559"/>
        <w:gridCol w:w="1559"/>
        <w:gridCol w:w="1559"/>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079"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毕业要求9</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毕业要求10</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毕业要求11</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毕业要求12</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8"/>
        <w:tblW w:w="9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649"/>
        <w:gridCol w:w="649"/>
        <w:gridCol w:w="649"/>
        <w:gridCol w:w="649"/>
        <w:gridCol w:w="649"/>
        <w:gridCol w:w="649"/>
        <w:gridCol w:w="649"/>
        <w:gridCol w:w="649"/>
        <w:gridCol w:w="649"/>
        <w:gridCol w:w="649"/>
        <w:gridCol w:w="649"/>
        <w:gridCol w:w="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7788" w:type="dxa"/>
            <w:gridSpan w:val="12"/>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9</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10</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概率统计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习近平总书记在闽大</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线性代数(R)</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数据库原理与应用</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离散数学</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计算机组成原理</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面向对象程序设计（Java）</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Java开发进阶</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Web技术基础</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软件质量保证与测试</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c>
          <w:tcPr>
            <w:tcW w:w="649" w:type="dxa"/>
            <w:shd w:val="clear" w:color="auto" w:fill="FFFFFF"/>
            <w:vAlign w:val="center"/>
          </w:tcPr>
          <w:p>
            <w:pPr>
              <w:snapToGrid w:val="0"/>
              <w:jc w:val="center"/>
              <w:rPr>
                <w:rFonts w:ascii="仿宋_GB2312" w:hAnsi="仿宋_GB2312" w:eastAsia="仿宋_GB2312" w:cs="仿宋_GB2312"/>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软件工程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Linux系统应用及服务器配置</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Java EE企业级开发</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前端全栈开发技术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大型数据库(ORACLE)</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三维建模与造型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UV贴图技术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Unreal engine虚拟现实开发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操作系统</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移动应用开发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软件体系结构</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信息安全技术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算法分析与设计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数据结构</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大数据分析与开发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大数据平台技术</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用户界面设计与评测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python互联网数据获取</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hint="eastAsia"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lang w:val="en-US" w:eastAsia="zh-CN"/>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计算机网络</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数据挖掘</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神经网络与深度学习</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工程经济学</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计算机专业英语</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技术认证课程</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大型数据库课程设计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企业实训（互联网应用开发）</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毕业实习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面向对象程序设计(Java)课程设计△</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bl>
    <w:p>
      <w:pPr>
        <w:pStyle w:val="4"/>
        <w:tabs>
          <w:tab w:val="left" w:pos="1080"/>
          <w:tab w:val="left" w:pos="1668"/>
        </w:tabs>
        <w:spacing w:line="520" w:lineRule="exact"/>
        <w:ind w:left="0" w:leftChars="0" w:firstLine="552" w:firstLineChars="20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pgNumType w:fmt="numberInDash"/>
          <w:cols w:space="720" w:num="1"/>
          <w:docGrid w:type="linesAndChars" w:linePitch="579" w:charSpace="-849"/>
        </w:sectPr>
      </w:pP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四、主干学科和核心课程</w:t>
      </w:r>
    </w:p>
    <w:p>
      <w:pPr>
        <w:pStyle w:val="4"/>
        <w:spacing w:line="460" w:lineRule="exact"/>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主干学科：</w:t>
      </w:r>
      <w:r>
        <w:rPr>
          <w:rFonts w:hint="eastAsia" w:ascii="仿宋_GB2312" w:hAnsi="仿宋_GB2312" w:eastAsia="仿宋_GB2312" w:cs="仿宋_GB2312"/>
          <w:sz w:val="28"/>
          <w:szCs w:val="28"/>
          <w:lang w:val="en-US" w:eastAsia="zh-CN"/>
        </w:rPr>
        <w:t>软件工程</w:t>
      </w:r>
    </w:p>
    <w:p>
      <w:pPr>
        <w:pStyle w:val="4"/>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核心课程：离散数学、计算机组成原理、数据库原理与应用、软件质量保证与测试、Java开发进阶、软件工程、Linux系统应用及服务器配置、面向对象程序设计（Java）、Web技术基础</w:t>
      </w: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4"/>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面向对象程序设计(Java)课程设计△、大型数据库课程设计、企业实训（互联网应用开发）、毕业论文（设计）、毕业实习</w:t>
      </w:r>
    </w:p>
    <w:p>
      <w:pPr>
        <w:pStyle w:val="4"/>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Web技术基础、面向对象程序设计（Java）、数据库原理与应用、Java开发进阶、大型数据库(ORACLE)、前端全栈开发技术、Java EE企业级开发、Linux系统应用及服务器配置、软件工程、软件质量保证与测试</w:t>
      </w:r>
    </w:p>
    <w:p>
      <w:pPr>
        <w:pStyle w:val="4"/>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8"/>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17.0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19.65%</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272.0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16</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7.0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8.09%</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112.0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9.95</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4.05%</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97</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13</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15.3</w:t>
            </w:r>
            <w:r>
              <w:rPr>
                <w:rFonts w:hint="eastAsia" w:ascii="仿宋_GB2312" w:hAnsi="仿宋_GB2312" w:eastAsia="仿宋_GB2312" w:cs="仿宋_GB2312"/>
                <w:szCs w:val="21"/>
              </w:rPr>
              <w:t>%</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204</w:t>
            </w:r>
            <w:r>
              <w:rPr>
                <w:rFonts w:hint="eastAsia" w:ascii="仿宋_GB2312" w:hAnsi="仿宋_GB2312" w:eastAsia="仿宋_GB2312" w:cs="仿宋_GB2312"/>
                <w:szCs w:val="21"/>
              </w:rPr>
              <w:t>.0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8</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12</w:t>
            </w:r>
            <w:r>
              <w:rPr>
                <w:rFonts w:hint="eastAsia" w:ascii="仿宋_GB2312" w:hAnsi="仿宋_GB2312" w:eastAsia="仿宋_GB2312" w:cs="仿宋_GB231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40</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4</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82</w:t>
            </w:r>
            <w:r>
              <w:rPr>
                <w:rFonts w:hint="eastAsia" w:ascii="仿宋_GB2312" w:hAnsi="仿宋_GB2312" w:eastAsia="仿宋_GB2312" w:cs="仿宋_GB2312"/>
                <w:szCs w:val="21"/>
              </w:rPr>
              <w:t>%</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644</w:t>
            </w:r>
            <w:r>
              <w:rPr>
                <w:rFonts w:hint="eastAsia" w:ascii="仿宋_GB2312" w:hAnsi="仿宋_GB2312" w:eastAsia="仿宋_GB2312" w:cs="仿宋_GB2312"/>
                <w:szCs w:val="21"/>
              </w:rPr>
              <w:t>.0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w:t>
            </w: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w:t>
            </w:r>
            <w:r>
              <w:rPr>
                <w:rFonts w:hint="eastAsia" w:ascii="仿宋_GB2312" w:hAnsi="仿宋_GB2312" w:eastAsia="仿宋_GB2312" w:cs="仿宋_GB2312"/>
                <w:szCs w:val="21"/>
                <w:lang w:val="en-US" w:eastAsia="zh-CN"/>
              </w:rPr>
              <w:t>19</w:t>
            </w:r>
            <w:r>
              <w:rPr>
                <w:rFonts w:hint="eastAsia" w:ascii="仿宋_GB2312" w:hAnsi="仿宋_GB2312" w:eastAsia="仿宋_GB2312" w:cs="仿宋_GB2312"/>
                <w:szCs w:val="21"/>
              </w:rPr>
              <w:t>%</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8"/>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2.31%</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1.16%</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274.0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16.18%</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274.0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160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9</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10</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4</w:t>
            </w:r>
            <w:r>
              <w:rPr>
                <w:rFonts w:hint="eastAsia" w:ascii="仿宋_GB2312" w:hAnsi="仿宋_GB2312" w:eastAsia="仿宋_GB2312" w:cs="仿宋_GB2312"/>
                <w:kern w:val="0"/>
                <w:szCs w:val="21"/>
              </w:rPr>
              <w:t>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lang w:val="en-US" w:eastAsia="zh-CN"/>
              </w:rPr>
              <w:t>9</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18.50%</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4.62%</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482</w:t>
            </w:r>
            <w:r>
              <w:rPr>
                <w:rFonts w:hint="eastAsia" w:ascii="仿宋_GB2312" w:hAnsi="仿宋_GB2312" w:eastAsia="仿宋_GB2312" w:cs="仿宋_GB2312"/>
                <w:kern w:val="0"/>
                <w:szCs w:val="21"/>
              </w:rPr>
              <w:t>.0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46</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53</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val="en-US" w:eastAsia="zh-CN"/>
              </w:rPr>
              <w:t>1</w:t>
            </w:r>
            <w:r>
              <w:rPr>
                <w:rFonts w:hint="eastAsia" w:ascii="仿宋_GB2312" w:hAnsi="仿宋_GB2312" w:eastAsia="仿宋_GB2312" w:cs="仿宋_GB2312"/>
                <w:kern w:val="0"/>
                <w:szCs w:val="21"/>
              </w:rPr>
              <w:t>8%</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36</w:t>
            </w:r>
            <w:bookmarkStart w:id="0" w:name="_GoBack"/>
            <w:bookmarkEnd w:id="0"/>
            <w:r>
              <w:rPr>
                <w:rFonts w:hint="eastAsia" w:ascii="仿宋_GB2312" w:hAnsi="仿宋_GB2312" w:cs="仿宋_GB2312"/>
                <w:kern w:val="0"/>
                <w:sz w:val="21"/>
                <w:szCs w:val="21"/>
              </w:rPr>
              <w:t>2.0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19.5</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32.0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2.0</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3.工程教育认证课程类别</w:t>
      </w:r>
    </w:p>
    <w:tbl>
      <w:tblPr>
        <w:tblStyle w:val="9"/>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679"/>
        <w:gridCol w:w="2304"/>
        <w:gridCol w:w="853"/>
        <w:gridCol w:w="2140"/>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5469" w:type="dxa"/>
            <w:gridSpan w:val="3"/>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课程类别</w:t>
            </w:r>
          </w:p>
        </w:tc>
        <w:tc>
          <w:tcPr>
            <w:tcW w:w="821"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学分</w:t>
            </w:r>
          </w:p>
        </w:tc>
        <w:tc>
          <w:tcPr>
            <w:tcW w:w="2060"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占总学分比例（%）</w:t>
            </w:r>
          </w:p>
        </w:tc>
        <w:tc>
          <w:tcPr>
            <w:tcW w:w="691" w:type="dxa"/>
            <w:shd w:val="clear" w:color="auto" w:fill="FFFFFF" w:themeFill="background1"/>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达标值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通识课</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17.34%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0.0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0.00%</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其中：人文社会科学类</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13.0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15.03%</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数学与自然科学类课程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6.94%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6.94%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restart"/>
            <w:textDirection w:val="tbLrV"/>
            <w:vAlign w:val="center"/>
          </w:tcPr>
          <w:p>
            <w:pPr>
              <w:pStyle w:val="2"/>
              <w:spacing w:after="0" w:line="240" w:lineRule="exact"/>
              <w:ind w:left="113" w:right="113"/>
              <w:jc w:val="center"/>
              <w:rPr>
                <w:rFonts w:ascii="仿宋_GB2312" w:hAnsi="仿宋_GB2312" w:eastAsia="仿宋_GB2312" w:cs="仿宋_GB2312"/>
                <w:spacing w:val="-14"/>
                <w:szCs w:val="21"/>
              </w:rPr>
            </w:pPr>
            <w:r>
              <w:rPr>
                <w:rFonts w:hint="eastAsia" w:ascii="仿宋_GB2312" w:hAnsi="仿宋_GB2312" w:eastAsia="仿宋_GB2312" w:cs="仿宋_GB2312"/>
                <w:kern w:val="0"/>
                <w:szCs w:val="21"/>
              </w:rPr>
              <w:t>工程与专业课程</w:t>
            </w: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专业基础类课程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6.94%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专业类课程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18.5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21.39%</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580"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12.0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13.87%</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1" w:type="dxa"/>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4798" w:type="dxa"/>
            <w:gridSpan w:val="2"/>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 xml:space="preserve">                                 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36.5</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42.20%</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工程实践和毕业设计（论文）</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17.34%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小计</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15.0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17.34%</w:t>
            </w:r>
          </w:p>
        </w:tc>
        <w:tc>
          <w:tcPr>
            <w:tcW w:w="691"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restart"/>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其他课程</w:t>
            </w: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必修课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4.0</w:t>
            </w:r>
          </w:p>
        </w:tc>
        <w:tc>
          <w:tcPr>
            <w:tcW w:w="2060" w:type="dxa"/>
            <w:vAlign w:val="center"/>
          </w:tcPr>
          <w:p>
            <w:pPr>
              <w:pStyle w:val="2"/>
              <w:spacing w:after="0" w:line="240" w:lineRule="exact"/>
              <w:jc w:val="center"/>
              <w:rPr>
                <w:rFonts w:ascii="仿宋_GB2312" w:hAnsi="仿宋_GB2312" w:eastAsia="仿宋_GB2312" w:cs="仿宋_GB2312"/>
                <w:spacing w:val="-14"/>
                <w:szCs w:val="21"/>
              </w:rPr>
            </w:pPr>
            <w:r>
              <w:rPr>
                <w:rFonts w:ascii="仿宋_GB2312" w:hAnsi="仿宋_GB2312" w:eastAsia="仿宋_GB2312" w:cs="仿宋_GB2312"/>
                <w:spacing w:val="-14"/>
                <w:szCs w:val="21"/>
              </w:rPr>
              <w:t>4.62%</w:t>
            </w: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1" w:type="dxa"/>
            <w:gridSpan w:val="2"/>
            <w:vMerge w:val="continue"/>
            <w:vAlign w:val="center"/>
          </w:tcPr>
          <w:p>
            <w:pPr>
              <w:pStyle w:val="2"/>
              <w:spacing w:after="0" w:line="240" w:lineRule="exact"/>
              <w:jc w:val="center"/>
              <w:rPr>
                <w:rFonts w:ascii="仿宋_GB2312" w:hAnsi="仿宋_GB2312" w:eastAsia="仿宋_GB2312" w:cs="仿宋_GB2312"/>
                <w:spacing w:val="-14"/>
                <w:szCs w:val="21"/>
              </w:rPr>
            </w:pPr>
          </w:p>
        </w:tc>
        <w:tc>
          <w:tcPr>
            <w:tcW w:w="2218" w:type="dxa"/>
            <w:vAlign w:val="center"/>
          </w:tcPr>
          <w:p>
            <w:pPr>
              <w:pStyle w:val="2"/>
              <w:spacing w:after="0" w:line="240" w:lineRule="exact"/>
              <w:jc w:val="center"/>
              <w:rPr>
                <w:rFonts w:ascii="仿宋_GB2312" w:hAnsi="仿宋_GB2312" w:eastAsia="仿宋_GB2312" w:cs="仿宋_GB2312"/>
                <w:spacing w:val="-14"/>
                <w:szCs w:val="21"/>
              </w:rPr>
            </w:pPr>
            <w:r>
              <w:rPr>
                <w:rFonts w:hint="eastAsia" w:ascii="仿宋_GB2312" w:hAnsi="仿宋_GB2312" w:eastAsia="仿宋_GB2312" w:cs="仿宋_GB2312"/>
                <w:spacing w:val="-14"/>
                <w:szCs w:val="21"/>
              </w:rPr>
              <w:t>选修课</w:t>
            </w:r>
          </w:p>
        </w:tc>
        <w:tc>
          <w:tcPr>
            <w:tcW w:w="821" w:type="dxa"/>
            <w:vAlign w:val="center"/>
          </w:tcPr>
          <w:p>
            <w:pPr>
              <w:pStyle w:val="2"/>
              <w:spacing w:after="0" w:line="240" w:lineRule="exact"/>
              <w:jc w:val="center"/>
              <w:rPr>
                <w:rFonts w:ascii="仿宋_GB2312" w:hAnsi="仿宋_GB2312" w:eastAsia="仿宋_GB2312" w:cs="仿宋_GB2312"/>
                <w:spacing w:val="-14"/>
                <w:szCs w:val="21"/>
              </w:rPr>
            </w:pPr>
          </w:p>
        </w:tc>
        <w:tc>
          <w:tcPr>
            <w:tcW w:w="2060" w:type="dxa"/>
            <w:vAlign w:val="center"/>
          </w:tcPr>
          <w:p>
            <w:pPr>
              <w:pStyle w:val="2"/>
              <w:spacing w:after="0" w:line="240" w:lineRule="exact"/>
              <w:jc w:val="center"/>
              <w:rPr>
                <w:rFonts w:ascii="仿宋_GB2312" w:hAnsi="仿宋_GB2312" w:eastAsia="仿宋_GB2312" w:cs="仿宋_GB2312"/>
                <w:spacing w:val="-14"/>
                <w:szCs w:val="21"/>
              </w:rPr>
            </w:pPr>
          </w:p>
        </w:tc>
        <w:tc>
          <w:tcPr>
            <w:tcW w:w="691" w:type="dxa"/>
            <w:vAlign w:val="center"/>
          </w:tcPr>
          <w:p>
            <w:pPr>
              <w:pStyle w:val="2"/>
              <w:spacing w:after="0" w:line="240" w:lineRule="exact"/>
              <w:jc w:val="center"/>
              <w:rPr>
                <w:rFonts w:ascii="仿宋_GB2312" w:hAnsi="仿宋_GB2312" w:eastAsia="仿宋_GB2312" w:cs="仿宋_GB2312"/>
                <w:spacing w:val="-14"/>
                <w:szCs w:val="21"/>
              </w:rPr>
            </w:pPr>
          </w:p>
        </w:tc>
      </w:tr>
    </w:tbl>
    <w:p>
      <w:pPr>
        <w:pStyle w:val="4"/>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8"/>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习近平总书记在闽大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General Secretary Xi Jinping at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11030130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11711080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线性代数(R)</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Linear Algebra (R)</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11250020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Probability &amp;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272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21251090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数据库原理与应用</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Database Principle and Application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21251640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离散数学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Discrete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color w:val="C00000"/>
                <w:kern w:val="0"/>
                <w:sz w:val="18"/>
                <w:szCs w:val="18"/>
              </w:rPr>
            </w:pPr>
            <w:r>
              <w:rPr>
                <w:rFonts w:hint="eastAsia"/>
                <w:color w:val="C00000"/>
                <w:kern w:val="0"/>
                <w:sz w:val="18"/>
                <w:szCs w:val="18"/>
              </w:rPr>
              <w:t>21250010</w:t>
            </w:r>
          </w:p>
        </w:tc>
        <w:tc>
          <w:tcPr>
            <w:tcW w:w="2229" w:type="dxa"/>
            <w:tcMar>
              <w:left w:w="0" w:type="dxa"/>
              <w:right w:w="0" w:type="dxa"/>
            </w:tcMar>
            <w:vAlign w:val="center"/>
          </w:tcPr>
          <w:p>
            <w:pPr>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计算机组成原理</w:t>
            </w:r>
          </w:p>
          <w:p>
            <w:pPr>
              <w:spacing w:line="240" w:lineRule="exact"/>
              <w:jc w:val="center"/>
              <w:rPr>
                <w:rFonts w:ascii="仿宋_GB2312" w:hAnsi="仿宋_GB2312" w:cs="仿宋_GB2312"/>
                <w:color w:val="C00000"/>
                <w:kern w:val="0"/>
                <w:sz w:val="18"/>
                <w:szCs w:val="18"/>
              </w:rPr>
            </w:pPr>
            <w:r>
              <w:rPr>
                <w:rFonts w:hint="eastAsia" w:eastAsia="宋体" w:cs="宋体"/>
                <w:color w:val="C00000"/>
                <w:kern w:val="0"/>
                <w:sz w:val="18"/>
                <w:szCs w:val="18"/>
              </w:rPr>
              <w:t>Computer Composition Principle</w:t>
            </w:r>
          </w:p>
        </w:tc>
        <w:tc>
          <w:tcPr>
            <w:tcW w:w="547"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color w:val="C00000"/>
                <w:kern w:val="0"/>
                <w:sz w:val="18"/>
                <w:szCs w:val="18"/>
              </w:rPr>
              <w:t>1</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3.0</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48</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48</w:t>
            </w: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w:t>
            </w:r>
          </w:p>
        </w:tc>
        <w:tc>
          <w:tcPr>
            <w:tcW w:w="551" w:type="dxa"/>
            <w:tcMar>
              <w:left w:w="0" w:type="dxa"/>
              <w:right w:w="0" w:type="dxa"/>
            </w:tcMar>
            <w:vAlign w:val="center"/>
          </w:tcPr>
          <w:p>
            <w:pPr>
              <w:widowControl/>
              <w:spacing w:line="240" w:lineRule="exact"/>
              <w:jc w:val="center"/>
              <w:rPr>
                <w:color w:val="C00000"/>
                <w:kern w:val="0"/>
                <w:sz w:val="18"/>
                <w:szCs w:val="18"/>
              </w:rPr>
            </w:pPr>
            <w:r>
              <w:rPr>
                <w:rFonts w:hint="eastAsia"/>
                <w:color w:val="C00000"/>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color w:val="C00000"/>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color w:val="C00000"/>
                <w:kern w:val="0"/>
                <w:sz w:val="18"/>
                <w:szCs w:val="18"/>
              </w:rPr>
            </w:pPr>
          </w:p>
        </w:tc>
        <w:tc>
          <w:tcPr>
            <w:tcW w:w="2229" w:type="dxa"/>
            <w:tcMar>
              <w:left w:w="0" w:type="dxa"/>
              <w:right w:w="0" w:type="dxa"/>
            </w:tcMar>
            <w:vAlign w:val="center"/>
          </w:tcPr>
          <w:p>
            <w:pPr>
              <w:spacing w:line="240" w:lineRule="exact"/>
              <w:jc w:val="center"/>
              <w:rPr>
                <w:rFonts w:hint="eastAsia" w:eastAsia="宋体" w:cs="宋体"/>
                <w:color w:val="C00000"/>
                <w:kern w:val="0"/>
                <w:sz w:val="18"/>
                <w:szCs w:val="18"/>
              </w:rPr>
            </w:pPr>
          </w:p>
        </w:tc>
        <w:tc>
          <w:tcPr>
            <w:tcW w:w="547" w:type="dxa"/>
            <w:tcMar>
              <w:left w:w="0" w:type="dxa"/>
              <w:right w:w="0" w:type="dxa"/>
            </w:tcMar>
            <w:vAlign w:val="center"/>
          </w:tcPr>
          <w:p>
            <w:pPr>
              <w:widowControl/>
              <w:spacing w:line="240" w:lineRule="exact"/>
              <w:jc w:val="center"/>
              <w:rPr>
                <w:rFonts w:hint="eastAsia"/>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51" w:type="dxa"/>
            <w:tcMar>
              <w:left w:w="0" w:type="dxa"/>
              <w:right w:w="0" w:type="dxa"/>
            </w:tcMar>
            <w:vAlign w:val="center"/>
          </w:tcPr>
          <w:p>
            <w:pPr>
              <w:widowControl/>
              <w:spacing w:line="240" w:lineRule="exact"/>
              <w:jc w:val="center"/>
              <w:rPr>
                <w:rFonts w:hint="eastAsia"/>
                <w:color w:val="C00000"/>
                <w:kern w:val="0"/>
                <w:sz w:val="18"/>
                <w:szCs w:val="18"/>
              </w:rPr>
            </w:pPr>
          </w:p>
        </w:tc>
        <w:tc>
          <w:tcPr>
            <w:tcW w:w="740" w:type="dxa"/>
            <w:tcMar>
              <w:left w:w="0" w:type="dxa"/>
              <w:right w:w="0" w:type="dxa"/>
            </w:tcMar>
            <w:vAlign w:val="center"/>
          </w:tcPr>
          <w:p>
            <w:pPr>
              <w:widowControl/>
              <w:spacing w:line="240" w:lineRule="exact"/>
              <w:jc w:val="center"/>
              <w:rPr>
                <w:rFonts w:hint="eastAsia"/>
                <w:color w:val="C00000"/>
                <w:kern w:val="0"/>
                <w:sz w:val="18"/>
                <w:szCs w:val="18"/>
              </w:rPr>
            </w:pPr>
          </w:p>
        </w:tc>
        <w:tc>
          <w:tcPr>
            <w:tcW w:w="741" w:type="dxa"/>
            <w:tcMar>
              <w:left w:w="0" w:type="dxa"/>
              <w:right w:w="0" w:type="dxa"/>
            </w:tcMar>
            <w:vAlign w:val="center"/>
          </w:tcPr>
          <w:p>
            <w:pPr>
              <w:widowControl/>
              <w:spacing w:line="240" w:lineRule="exact"/>
              <w:jc w:val="center"/>
              <w:rPr>
                <w:rFonts w:hint="eastAsia" w:ascii="仿宋_GB2312" w:hAnsi="仿宋_GB2312" w:cs="仿宋_GB2312"/>
                <w:color w:val="C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color w:val="C00000"/>
                <w:kern w:val="0"/>
                <w:sz w:val="18"/>
                <w:szCs w:val="18"/>
              </w:rPr>
            </w:pPr>
            <w:r>
              <w:rPr>
                <w:rFonts w:hint="eastAsia"/>
                <w:color w:val="C00000"/>
                <w:kern w:val="0"/>
                <w:sz w:val="18"/>
                <w:szCs w:val="18"/>
              </w:rPr>
              <w:t>31251230</w:t>
            </w:r>
          </w:p>
        </w:tc>
        <w:tc>
          <w:tcPr>
            <w:tcW w:w="2229" w:type="dxa"/>
            <w:tcMar>
              <w:left w:w="0" w:type="dxa"/>
              <w:right w:w="0" w:type="dxa"/>
            </w:tcMar>
            <w:vAlign w:val="center"/>
          </w:tcPr>
          <w:p>
            <w:pPr>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面向对象程序设计（Java）</w:t>
            </w:r>
          </w:p>
          <w:p>
            <w:pPr>
              <w:spacing w:line="240" w:lineRule="exact"/>
              <w:jc w:val="center"/>
              <w:rPr>
                <w:rFonts w:ascii="仿宋_GB2312" w:hAnsi="仿宋_GB2312" w:cs="仿宋_GB2312"/>
                <w:color w:val="C00000"/>
                <w:kern w:val="0"/>
                <w:sz w:val="18"/>
                <w:szCs w:val="18"/>
              </w:rPr>
            </w:pPr>
            <w:r>
              <w:rPr>
                <w:rFonts w:hint="eastAsia" w:eastAsia="宋体" w:cs="宋体"/>
                <w:color w:val="C00000"/>
                <w:kern w:val="0"/>
                <w:sz w:val="18"/>
                <w:szCs w:val="18"/>
              </w:rPr>
              <w:t>Object-Oriented Analysis and Design</w:t>
            </w:r>
          </w:p>
        </w:tc>
        <w:tc>
          <w:tcPr>
            <w:tcW w:w="547"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color w:val="C00000"/>
                <w:kern w:val="0"/>
                <w:sz w:val="18"/>
                <w:szCs w:val="18"/>
              </w:rPr>
              <w:t>1</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3.0</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60</w:t>
            </w: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60</w:t>
            </w: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4</w:t>
            </w:r>
          </w:p>
        </w:tc>
        <w:tc>
          <w:tcPr>
            <w:tcW w:w="551" w:type="dxa"/>
            <w:tcMar>
              <w:left w:w="0" w:type="dxa"/>
              <w:right w:w="0" w:type="dxa"/>
            </w:tcMar>
            <w:vAlign w:val="center"/>
          </w:tcPr>
          <w:p>
            <w:pPr>
              <w:widowControl/>
              <w:spacing w:line="240" w:lineRule="exact"/>
              <w:jc w:val="center"/>
              <w:rPr>
                <w:color w:val="C00000"/>
                <w:kern w:val="0"/>
                <w:sz w:val="18"/>
                <w:szCs w:val="18"/>
              </w:rPr>
            </w:pPr>
            <w:r>
              <w:rPr>
                <w:rFonts w:hint="eastAsia"/>
                <w:color w:val="C00000"/>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color w:val="C00000"/>
                <w:kern w:val="0"/>
                <w:sz w:val="18"/>
                <w:szCs w:val="18"/>
              </w:rPr>
              <w:t>书证融通课,主要专业实验课,专业核心课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Web技术基础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Web Technology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31250020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Java开发进阶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Advanced Java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31250040</w:t>
            </w:r>
          </w:p>
        </w:tc>
        <w:tc>
          <w:tcPr>
            <w:tcW w:w="2229" w:type="dxa"/>
            <w:tcMar>
              <w:left w:w="0" w:type="dxa"/>
              <w:right w:w="0" w:type="dxa"/>
            </w:tcMar>
            <w:vAlign w:val="center"/>
          </w:tcPr>
          <w:p>
            <w:pPr>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软件质量保证与测试</w:t>
            </w:r>
          </w:p>
          <w:p>
            <w:pPr>
              <w:spacing w:line="240" w:lineRule="exact"/>
              <w:jc w:val="center"/>
              <w:rPr>
                <w:rFonts w:ascii="仿宋_GB2312" w:hAnsi="仿宋_GB2312" w:cs="仿宋_GB2312"/>
                <w:color w:val="C00000"/>
                <w:kern w:val="0"/>
                <w:sz w:val="18"/>
                <w:szCs w:val="18"/>
              </w:rPr>
            </w:pPr>
            <w:r>
              <w:rPr>
                <w:rFonts w:hint="eastAsia" w:eastAsia="宋体" w:cs="宋体"/>
                <w:color w:val="C00000"/>
                <w:kern w:val="0"/>
                <w:sz w:val="18"/>
                <w:szCs w:val="18"/>
              </w:rPr>
              <w:t>Software Quality Assurance and Testing</w:t>
            </w:r>
          </w:p>
        </w:tc>
        <w:tc>
          <w:tcPr>
            <w:tcW w:w="547"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color w:val="C00000"/>
                <w:kern w:val="0"/>
                <w:sz w:val="18"/>
                <w:szCs w:val="18"/>
              </w:rPr>
              <w:t>3</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2.0</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32</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24</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8</w:t>
            </w: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w:t>
            </w:r>
          </w:p>
        </w:tc>
        <w:tc>
          <w:tcPr>
            <w:tcW w:w="551" w:type="dxa"/>
            <w:tcMar>
              <w:left w:w="0" w:type="dxa"/>
              <w:right w:w="0" w:type="dxa"/>
            </w:tcMar>
            <w:vAlign w:val="center"/>
          </w:tcPr>
          <w:p>
            <w:pPr>
              <w:widowControl/>
              <w:spacing w:line="240" w:lineRule="exact"/>
              <w:jc w:val="center"/>
              <w:rPr>
                <w:color w:val="C00000"/>
                <w:kern w:val="0"/>
                <w:sz w:val="18"/>
                <w:szCs w:val="18"/>
              </w:rPr>
            </w:pPr>
            <w:r>
              <w:rPr>
                <w:rFonts w:hint="eastAsia"/>
                <w:color w:val="C00000"/>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color w:val="C00000"/>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31250340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软件工程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Engineering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31251980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Linux系统应用及服务器配置</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Linux System Apllication and Server Configuration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书证融通课,主要专业实验课,专业核心课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17.5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274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21</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3039" w:type="dxa"/>
            <w:gridSpan w:val="2"/>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互联网应用开发</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0"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33250300</w:t>
            </w:r>
          </w:p>
        </w:tc>
        <w:tc>
          <w:tcPr>
            <w:tcW w:w="2229" w:type="dxa"/>
            <w:tcMar>
              <w:left w:w="0" w:type="dxa"/>
              <w:right w:w="0" w:type="dxa"/>
            </w:tcMar>
            <w:vAlign w:val="center"/>
          </w:tcPr>
          <w:p>
            <w:pPr>
              <w:widowControl/>
              <w:spacing w:line="240" w:lineRule="exact"/>
              <w:jc w:val="center"/>
              <w:rPr>
                <w:rFonts w:cs="仿宋_GB2312"/>
                <w:kern w:val="0"/>
                <w:sz w:val="18"/>
                <w:szCs w:val="18"/>
              </w:rPr>
            </w:pPr>
            <w:r>
              <w:rPr>
                <w:rFonts w:hint="eastAsia" w:cs="仿宋_GB2312"/>
                <w:kern w:val="0"/>
                <w:sz w:val="18"/>
                <w:szCs w:val="18"/>
              </w:rPr>
              <w:t>前端全栈开发技术</w:t>
            </w:r>
          </w:p>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Front end full stack development technology</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w:t>
            </w:r>
            <w:r>
              <w:rPr>
                <w:rFonts w:hint="eastAsia"/>
                <w:kern w:val="0"/>
                <w:sz w:val="18"/>
                <w:szCs w:val="18"/>
              </w:rPr>
              <w:t>325</w:t>
            </w:r>
            <w:r>
              <w:rPr>
                <w:kern w:val="0"/>
                <w:sz w:val="18"/>
                <w:szCs w:val="18"/>
              </w:rPr>
              <w:t>0370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大型数据库(ORACLE)</w:t>
            </w:r>
          </w:p>
          <w:p>
            <w:pPr>
              <w:spacing w:line="240" w:lineRule="exact"/>
              <w:jc w:val="center"/>
              <w:rPr>
                <w:rFonts w:ascii="仿宋_GB2312" w:hAnsi="仿宋_GB2312" w:eastAsia="仿宋_GB2312" w:cs="仿宋_GB2312"/>
                <w:kern w:val="0"/>
                <w:sz w:val="18"/>
                <w:szCs w:val="18"/>
                <w:lang w:val="en-US" w:eastAsia="zh-CN" w:bidi="ar-SA"/>
              </w:rPr>
            </w:pPr>
            <w:r>
              <w:rPr>
                <w:rFonts w:hint="eastAsia" w:eastAsia="宋体" w:cs="宋体"/>
                <w:kern w:val="0"/>
                <w:sz w:val="18"/>
                <w:szCs w:val="18"/>
              </w:rPr>
              <w:t>Large-Scale Database (Oracle)</w:t>
            </w:r>
          </w:p>
        </w:tc>
        <w:tc>
          <w:tcPr>
            <w:tcW w:w="547"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3.0</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48</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w:t>
            </w:r>
          </w:p>
        </w:tc>
        <w:tc>
          <w:tcPr>
            <w:tcW w:w="551"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33250200</w:t>
            </w:r>
          </w:p>
        </w:tc>
        <w:tc>
          <w:tcPr>
            <w:tcW w:w="2229" w:type="dxa"/>
            <w:tcMar>
              <w:left w:w="0" w:type="dxa"/>
              <w:right w:w="0" w:type="dxa"/>
            </w:tcMar>
            <w:vAlign w:val="center"/>
          </w:tcPr>
          <w:p>
            <w:pPr>
              <w:widowControl/>
              <w:spacing w:line="240" w:lineRule="exact"/>
              <w:jc w:val="center"/>
              <w:rPr>
                <w:rFonts w:cs="仿宋_GB2312"/>
                <w:kern w:val="0"/>
                <w:sz w:val="18"/>
                <w:szCs w:val="18"/>
              </w:rPr>
            </w:pPr>
            <w:r>
              <w:rPr>
                <w:rFonts w:hint="eastAsia" w:cs="仿宋_GB2312"/>
                <w:kern w:val="0"/>
                <w:sz w:val="18"/>
                <w:szCs w:val="18"/>
              </w:rPr>
              <w:t>Java EE企业级开发</w:t>
            </w:r>
          </w:p>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JavaEE Enterprise-level Development</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60</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0</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60</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VR</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5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0"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ascii="Helvetica" w:hAnsi="Helvetica" w:eastAsia="Helvetica" w:cs="Helvetica"/>
                <w:sz w:val="16"/>
                <w:szCs w:val="16"/>
                <w:shd w:val="clear" w:color="auto" w:fill="F9F9F9"/>
              </w:rPr>
              <w:t>33250110</w:t>
            </w:r>
          </w:p>
        </w:tc>
        <w:tc>
          <w:tcPr>
            <w:tcW w:w="2229" w:type="dxa"/>
            <w:tcMar>
              <w:left w:w="0" w:type="dxa"/>
              <w:right w:w="0" w:type="dxa"/>
            </w:tcMar>
            <w:vAlign w:val="center"/>
          </w:tcPr>
          <w:p>
            <w:pPr>
              <w:widowControl/>
              <w:spacing w:line="240" w:lineRule="exact"/>
              <w:jc w:val="center"/>
              <w:rPr>
                <w:rFonts w:cs="仿宋_GB2312"/>
                <w:kern w:val="0"/>
                <w:sz w:val="18"/>
                <w:szCs w:val="18"/>
              </w:rPr>
            </w:pPr>
            <w:r>
              <w:rPr>
                <w:rFonts w:hint="eastAsia" w:cs="仿宋_GB2312"/>
                <w:kern w:val="0"/>
                <w:sz w:val="18"/>
                <w:szCs w:val="18"/>
              </w:rPr>
              <w:t>三维建模与造型</w:t>
            </w:r>
          </w:p>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3D Modeling and Modeling</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ascii="Helvetica" w:hAnsi="Helvetica" w:eastAsia="Helvetica" w:cs="Helvetica"/>
                <w:sz w:val="16"/>
                <w:szCs w:val="16"/>
                <w:shd w:val="clear" w:color="auto" w:fill="F9F9F9"/>
              </w:rPr>
              <w:t>33250120</w:t>
            </w:r>
          </w:p>
        </w:tc>
        <w:tc>
          <w:tcPr>
            <w:tcW w:w="2229" w:type="dxa"/>
            <w:tcMar>
              <w:left w:w="0" w:type="dxa"/>
              <w:right w:w="0" w:type="dxa"/>
            </w:tcMar>
            <w:vAlign w:val="center"/>
          </w:tcPr>
          <w:p>
            <w:pPr>
              <w:widowControl/>
              <w:spacing w:line="240" w:lineRule="exact"/>
              <w:jc w:val="center"/>
              <w:rPr>
                <w:rFonts w:cs="仿宋_GB2312"/>
                <w:kern w:val="0"/>
                <w:sz w:val="18"/>
                <w:szCs w:val="18"/>
              </w:rPr>
            </w:pPr>
            <w:r>
              <w:rPr>
                <w:rFonts w:hint="eastAsia" w:cs="仿宋_GB2312"/>
                <w:kern w:val="0"/>
                <w:sz w:val="18"/>
                <w:szCs w:val="18"/>
              </w:rPr>
              <w:t>UV贴图技术</w:t>
            </w:r>
          </w:p>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UV mapping technology</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2</w:t>
            </w: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ascii="Helvetica" w:hAnsi="Helvetica" w:eastAsia="Helvetica" w:cs="Helvetica"/>
                <w:sz w:val="16"/>
                <w:szCs w:val="16"/>
                <w:shd w:val="clear" w:color="auto" w:fill="F9F9F9"/>
              </w:rPr>
              <w:t>33250130</w:t>
            </w:r>
          </w:p>
        </w:tc>
        <w:tc>
          <w:tcPr>
            <w:tcW w:w="2229"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Unreal engine虚拟现实开发Unreal engine virtual reality development</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64</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4</w:t>
            </w:r>
          </w:p>
        </w:tc>
        <w:tc>
          <w:tcPr>
            <w:tcW w:w="551"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考查</w:t>
            </w:r>
          </w:p>
        </w:tc>
        <w:tc>
          <w:tcPr>
            <w:tcW w:w="740" w:type="dxa"/>
            <w:tcMar>
              <w:left w:w="0" w:type="dxa"/>
              <w:right w:w="0" w:type="dxa"/>
            </w:tcMar>
            <w:vAlign w:val="center"/>
          </w:tcPr>
          <w:p>
            <w:pPr>
              <w:widowControl/>
              <w:spacing w:line="240" w:lineRule="exact"/>
              <w:jc w:val="center"/>
              <w:rPr>
                <w:rFonts w:ascii="Times New Roman" w:hAnsi="Times New Roman" w:eastAsia="仿宋_GB2312" w:cs="仿宋_GB2312"/>
                <w:kern w:val="0"/>
                <w:sz w:val="18"/>
                <w:szCs w:val="18"/>
                <w:lang w:val="en-US" w:eastAsia="zh-CN" w:bidi="ar-SA"/>
              </w:rPr>
            </w:pPr>
            <w:r>
              <w:rPr>
                <w:rFonts w:hint="eastAsia" w:cs="仿宋_GB2312"/>
                <w:kern w:val="0"/>
                <w:sz w:val="18"/>
                <w:szCs w:val="18"/>
              </w:rPr>
              <w:t>书证融通</w:t>
            </w: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color w:val="C00000"/>
                <w:kern w:val="0"/>
                <w:sz w:val="18"/>
                <w:szCs w:val="18"/>
                <w:lang w:val="en-US" w:eastAsia="zh-CN" w:bidi="ar-SA"/>
              </w:rPr>
            </w:pPr>
            <w:r>
              <w:rPr>
                <w:rFonts w:hint="eastAsia"/>
                <w:color w:val="C00000"/>
                <w:kern w:val="0"/>
                <w:sz w:val="18"/>
                <w:szCs w:val="18"/>
              </w:rPr>
              <w:t>33250230</w:t>
            </w:r>
          </w:p>
        </w:tc>
        <w:tc>
          <w:tcPr>
            <w:tcW w:w="2229" w:type="dxa"/>
            <w:tcMar>
              <w:left w:w="0" w:type="dxa"/>
              <w:right w:w="0" w:type="dxa"/>
            </w:tcMar>
            <w:vAlign w:val="center"/>
          </w:tcPr>
          <w:p>
            <w:pPr>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面向对象程序设计（C++）</w:t>
            </w:r>
          </w:p>
          <w:p>
            <w:pPr>
              <w:spacing w:line="240" w:lineRule="exact"/>
              <w:jc w:val="center"/>
              <w:rPr>
                <w:rFonts w:hint="eastAsia" w:ascii="仿宋_GB2312" w:hAnsi="仿宋_GB2312" w:eastAsia="仿宋_GB2312" w:cs="仿宋_GB2312"/>
                <w:color w:val="C00000"/>
                <w:kern w:val="0"/>
                <w:sz w:val="18"/>
                <w:szCs w:val="18"/>
                <w:lang w:val="en-US" w:eastAsia="zh-CN" w:bidi="ar-SA"/>
              </w:rPr>
            </w:pPr>
            <w:r>
              <w:rPr>
                <w:color w:val="C00000"/>
                <w:kern w:val="0"/>
                <w:sz w:val="18"/>
                <w:szCs w:val="18"/>
              </w:rPr>
              <w:t>Object-Oriented Programming</w:t>
            </w:r>
          </w:p>
        </w:tc>
        <w:tc>
          <w:tcPr>
            <w:tcW w:w="547" w:type="dxa"/>
            <w:tcMar>
              <w:left w:w="0" w:type="dxa"/>
              <w:right w:w="0" w:type="dxa"/>
            </w:tcMar>
            <w:vAlign w:val="center"/>
          </w:tcPr>
          <w:p>
            <w:pPr>
              <w:spacing w:line="240" w:lineRule="exact"/>
              <w:jc w:val="center"/>
              <w:rPr>
                <w:rFonts w:hint="eastAsia" w:ascii="仿宋_GB2312" w:hAnsi="仿宋_GB2312" w:eastAsia="仿宋_GB2312" w:cs="仿宋_GB2312"/>
                <w:color w:val="C00000"/>
                <w:kern w:val="0"/>
                <w:sz w:val="18"/>
                <w:szCs w:val="18"/>
                <w:lang w:val="en-US" w:eastAsia="zh-CN" w:bidi="ar-SA"/>
              </w:rPr>
            </w:pPr>
            <w:r>
              <w:rPr>
                <w:rFonts w:hint="eastAsia" w:ascii="仿宋_GB2312" w:hAnsi="仿宋_GB2312" w:cs="仿宋_GB2312"/>
                <w:color w:val="C00000"/>
                <w:kern w:val="0"/>
                <w:sz w:val="18"/>
                <w:szCs w:val="18"/>
                <w:lang w:val="en-US" w:eastAsia="zh-CN"/>
              </w:rPr>
              <w:t>2</w:t>
            </w:r>
          </w:p>
        </w:tc>
        <w:tc>
          <w:tcPr>
            <w:tcW w:w="547" w:type="dxa"/>
            <w:tcMar>
              <w:left w:w="0" w:type="dxa"/>
              <w:right w:w="0" w:type="dxa"/>
            </w:tcMar>
            <w:vAlign w:val="center"/>
          </w:tcPr>
          <w:p>
            <w:pPr>
              <w:spacing w:line="240" w:lineRule="exact"/>
              <w:jc w:val="center"/>
              <w:rPr>
                <w:rFonts w:ascii="仿宋_GB2312" w:hAnsi="仿宋_GB2312" w:eastAsia="仿宋_GB2312" w:cs="仿宋_GB2312"/>
                <w:color w:val="C00000"/>
                <w:kern w:val="0"/>
                <w:sz w:val="18"/>
                <w:szCs w:val="18"/>
                <w:lang w:val="en-US" w:eastAsia="zh-CN" w:bidi="ar-SA"/>
              </w:rPr>
            </w:pPr>
            <w:r>
              <w:rPr>
                <w:rFonts w:hint="eastAsia" w:ascii="仿宋_GB2312" w:hAnsi="仿宋_GB2312" w:cs="仿宋_GB2312"/>
                <w:color w:val="C00000"/>
                <w:kern w:val="0"/>
                <w:sz w:val="18"/>
                <w:szCs w:val="18"/>
              </w:rPr>
              <w:t>2.0</w:t>
            </w:r>
          </w:p>
        </w:tc>
        <w:tc>
          <w:tcPr>
            <w:tcW w:w="547" w:type="dxa"/>
            <w:tcMar>
              <w:left w:w="0" w:type="dxa"/>
              <w:right w:w="0" w:type="dxa"/>
            </w:tcMar>
            <w:vAlign w:val="center"/>
          </w:tcPr>
          <w:p>
            <w:pPr>
              <w:spacing w:line="240" w:lineRule="exact"/>
              <w:jc w:val="center"/>
              <w:rPr>
                <w:rFonts w:ascii="仿宋_GB2312" w:hAnsi="仿宋_GB2312" w:eastAsia="仿宋_GB2312" w:cs="仿宋_GB2312"/>
                <w:color w:val="C00000"/>
                <w:kern w:val="0"/>
                <w:sz w:val="18"/>
                <w:szCs w:val="18"/>
                <w:lang w:val="en-US" w:eastAsia="zh-CN" w:bidi="ar-SA"/>
              </w:rPr>
            </w:pPr>
            <w:r>
              <w:rPr>
                <w:rFonts w:hint="eastAsia" w:ascii="仿宋_GB2312" w:hAnsi="仿宋_GB2312" w:cs="仿宋_GB2312"/>
                <w:color w:val="C00000"/>
                <w:kern w:val="0"/>
                <w:sz w:val="18"/>
                <w:szCs w:val="18"/>
              </w:rPr>
              <w:t>40</w:t>
            </w:r>
          </w:p>
        </w:tc>
        <w:tc>
          <w:tcPr>
            <w:tcW w:w="547" w:type="dxa"/>
            <w:tcMar>
              <w:left w:w="0" w:type="dxa"/>
              <w:right w:w="0" w:type="dxa"/>
            </w:tcMar>
            <w:vAlign w:val="center"/>
          </w:tcPr>
          <w:p>
            <w:pPr>
              <w:spacing w:line="240" w:lineRule="exact"/>
              <w:jc w:val="center"/>
              <w:rPr>
                <w:rFonts w:ascii="仿宋_GB2312" w:hAnsi="仿宋_GB2312" w:eastAsia="仿宋_GB2312" w:cs="仿宋_GB2312"/>
                <w:color w:val="C00000"/>
                <w:kern w:val="0"/>
                <w:sz w:val="18"/>
                <w:szCs w:val="18"/>
                <w:lang w:val="en-US" w:eastAsia="zh-CN" w:bidi="ar-SA"/>
              </w:rPr>
            </w:pPr>
          </w:p>
        </w:tc>
        <w:tc>
          <w:tcPr>
            <w:tcW w:w="547" w:type="dxa"/>
            <w:tcMar>
              <w:left w:w="0" w:type="dxa"/>
              <w:right w:w="0" w:type="dxa"/>
            </w:tcMar>
            <w:vAlign w:val="center"/>
          </w:tcPr>
          <w:p>
            <w:pPr>
              <w:spacing w:line="240" w:lineRule="exact"/>
              <w:jc w:val="center"/>
              <w:rPr>
                <w:rFonts w:ascii="仿宋_GB2312" w:hAnsi="仿宋_GB2312" w:eastAsia="仿宋_GB2312" w:cs="仿宋_GB2312"/>
                <w:color w:val="C00000"/>
                <w:kern w:val="0"/>
                <w:sz w:val="18"/>
                <w:szCs w:val="18"/>
                <w:lang w:val="en-US" w:eastAsia="zh-CN" w:bidi="ar-SA"/>
              </w:rPr>
            </w:pPr>
            <w:r>
              <w:rPr>
                <w:rFonts w:hint="eastAsia" w:ascii="仿宋_GB2312" w:hAnsi="仿宋_GB2312" w:cs="仿宋_GB2312"/>
                <w:color w:val="C00000"/>
                <w:kern w:val="0"/>
                <w:sz w:val="18"/>
                <w:szCs w:val="18"/>
              </w:rPr>
              <w:t>40</w:t>
            </w:r>
          </w:p>
        </w:tc>
        <w:tc>
          <w:tcPr>
            <w:tcW w:w="547" w:type="dxa"/>
            <w:tcMar>
              <w:left w:w="0" w:type="dxa"/>
              <w:right w:w="0" w:type="dxa"/>
            </w:tcMar>
            <w:vAlign w:val="center"/>
          </w:tcPr>
          <w:p>
            <w:pPr>
              <w:spacing w:line="240" w:lineRule="exact"/>
              <w:jc w:val="center"/>
              <w:rPr>
                <w:rFonts w:ascii="仿宋_GB2312" w:hAnsi="仿宋_GB2312" w:eastAsia="仿宋_GB2312" w:cs="仿宋_GB2312"/>
                <w:color w:val="C00000"/>
                <w:kern w:val="0"/>
                <w:sz w:val="18"/>
                <w:szCs w:val="18"/>
                <w:lang w:val="en-US" w:eastAsia="zh-CN" w:bidi="ar-SA"/>
              </w:rPr>
            </w:pPr>
          </w:p>
        </w:tc>
        <w:tc>
          <w:tcPr>
            <w:tcW w:w="547" w:type="dxa"/>
            <w:tcMar>
              <w:left w:w="0" w:type="dxa"/>
              <w:right w:w="0" w:type="dxa"/>
            </w:tcMar>
            <w:vAlign w:val="center"/>
          </w:tcPr>
          <w:p>
            <w:pPr>
              <w:spacing w:line="240" w:lineRule="exact"/>
              <w:jc w:val="center"/>
              <w:rPr>
                <w:rFonts w:ascii="仿宋_GB2312" w:hAnsi="仿宋_GB2312" w:eastAsia="仿宋_GB2312" w:cs="仿宋_GB2312"/>
                <w:color w:val="C00000"/>
                <w:kern w:val="0"/>
                <w:sz w:val="18"/>
                <w:szCs w:val="18"/>
                <w:lang w:val="en-US" w:eastAsia="zh-CN" w:bidi="ar-SA"/>
              </w:rPr>
            </w:pPr>
            <w:r>
              <w:rPr>
                <w:rFonts w:hint="eastAsia" w:ascii="仿宋_GB2312" w:hAnsi="仿宋_GB2312" w:cs="仿宋_GB2312"/>
                <w:color w:val="C00000"/>
                <w:kern w:val="0"/>
                <w:sz w:val="18"/>
                <w:szCs w:val="18"/>
              </w:rPr>
              <w:t>2</w:t>
            </w:r>
          </w:p>
        </w:tc>
        <w:tc>
          <w:tcPr>
            <w:tcW w:w="551" w:type="dxa"/>
            <w:tcMar>
              <w:left w:w="0" w:type="dxa"/>
              <w:right w:w="0" w:type="dxa"/>
            </w:tcMar>
            <w:vAlign w:val="center"/>
          </w:tcPr>
          <w:p>
            <w:pPr>
              <w:spacing w:line="240" w:lineRule="exact"/>
              <w:jc w:val="center"/>
              <w:rPr>
                <w:rFonts w:hint="eastAsia" w:ascii="仿宋_GB2312" w:hAnsi="仿宋_GB2312" w:eastAsia="仿宋_GB2312" w:cs="仿宋_GB2312"/>
                <w:color w:val="C00000"/>
                <w:kern w:val="0"/>
                <w:sz w:val="18"/>
                <w:szCs w:val="18"/>
                <w:lang w:val="en-US" w:eastAsia="zh-CN" w:bidi="ar-SA"/>
              </w:rPr>
            </w:pPr>
            <w:r>
              <w:rPr>
                <w:rFonts w:hint="eastAsia" w:ascii="仿宋_GB2312" w:hAnsi="仿宋_GB2312" w:cs="仿宋_GB2312"/>
                <w:color w:val="C00000"/>
                <w:kern w:val="0"/>
                <w:sz w:val="18"/>
                <w:szCs w:val="18"/>
              </w:rPr>
              <w:t>考查</w:t>
            </w:r>
          </w:p>
        </w:tc>
        <w:tc>
          <w:tcPr>
            <w:tcW w:w="740" w:type="dxa"/>
            <w:tcMar>
              <w:left w:w="0" w:type="dxa"/>
              <w:right w:w="0" w:type="dxa"/>
            </w:tcMar>
            <w:vAlign w:val="center"/>
          </w:tcPr>
          <w:p>
            <w:pPr>
              <w:spacing w:line="240" w:lineRule="exact"/>
              <w:jc w:val="center"/>
              <w:rPr>
                <w:rFonts w:ascii="仿宋_GB2312" w:hAnsi="仿宋_GB2312" w:eastAsia="仿宋_GB2312" w:cs="仿宋_GB2312"/>
                <w:color w:val="C00000"/>
                <w:kern w:val="0"/>
                <w:sz w:val="18"/>
                <w:szCs w:val="18"/>
                <w:lang w:val="en-US" w:eastAsia="zh-CN" w:bidi="ar-SA"/>
              </w:rPr>
            </w:pPr>
          </w:p>
        </w:tc>
        <w:tc>
          <w:tcPr>
            <w:tcW w:w="741" w:type="dxa"/>
            <w:tcMar>
              <w:left w:w="0" w:type="dxa"/>
              <w:right w:w="0" w:type="dxa"/>
            </w:tcMar>
            <w:vAlign w:val="center"/>
          </w:tcPr>
          <w:p>
            <w:pPr>
              <w:spacing w:line="240" w:lineRule="exact"/>
              <w:jc w:val="center"/>
              <w:rPr>
                <w:rFonts w:hint="eastAsia" w:ascii="仿宋_GB2312" w:hAnsi="仿宋_GB2312" w:eastAsia="仿宋_GB2312" w:cs="仿宋_GB2312"/>
                <w:color w:val="C00000"/>
                <w:kern w:val="0"/>
                <w:sz w:val="18"/>
                <w:szCs w:val="18"/>
                <w:lang w:val="en-US" w:eastAsia="zh-CN" w:bidi="ar-SA"/>
              </w:rPr>
            </w:pPr>
            <w:r>
              <w:rPr>
                <w:rFonts w:hint="eastAsia" w:ascii="仿宋_GB2312" w:hAnsi="仿宋_GB2312" w:cs="仿宋_GB2312"/>
                <w:color w:val="C0000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hint="eastAsia"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w:t>
            </w:r>
            <w:r>
              <w:rPr>
                <w:rFonts w:hint="eastAsia"/>
                <w:kern w:val="0"/>
                <w:sz w:val="18"/>
                <w:szCs w:val="18"/>
              </w:rPr>
              <w:t>325</w:t>
            </w:r>
            <w:r>
              <w:rPr>
                <w:kern w:val="0"/>
                <w:sz w:val="18"/>
                <w:szCs w:val="18"/>
              </w:rPr>
              <w:t>0370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大型数据库(ORACLE)</w:t>
            </w:r>
          </w:p>
          <w:p>
            <w:pPr>
              <w:spacing w:line="240" w:lineRule="exact"/>
              <w:jc w:val="center"/>
              <w:rPr>
                <w:rFonts w:ascii="仿宋_GB2312" w:hAnsi="仿宋_GB2312" w:eastAsia="仿宋_GB2312" w:cs="仿宋_GB2312"/>
                <w:kern w:val="0"/>
                <w:sz w:val="18"/>
                <w:szCs w:val="18"/>
                <w:lang w:val="en-US" w:eastAsia="zh-CN" w:bidi="ar-SA"/>
              </w:rPr>
            </w:pPr>
            <w:r>
              <w:rPr>
                <w:rFonts w:hint="eastAsia" w:eastAsia="宋体" w:cs="宋体"/>
                <w:kern w:val="0"/>
                <w:sz w:val="18"/>
                <w:szCs w:val="18"/>
              </w:rPr>
              <w:t>Large-Scale Database (Oracle)</w:t>
            </w:r>
          </w:p>
        </w:tc>
        <w:tc>
          <w:tcPr>
            <w:tcW w:w="547"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3.0</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48</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32</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16</w:t>
            </w: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p>
        </w:tc>
        <w:tc>
          <w:tcPr>
            <w:tcW w:w="547"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kern w:val="0"/>
                <w:sz w:val="18"/>
                <w:szCs w:val="18"/>
              </w:rPr>
              <w:t>3</w:t>
            </w:r>
          </w:p>
        </w:tc>
        <w:tc>
          <w:tcPr>
            <w:tcW w:w="551" w:type="dxa"/>
            <w:tcMar>
              <w:left w:w="0" w:type="dxa"/>
              <w:right w:w="0" w:type="dxa"/>
            </w:tcMar>
            <w:vAlign w:val="center"/>
          </w:tcPr>
          <w:p>
            <w:pPr>
              <w:widowControl/>
              <w:spacing w:line="240" w:lineRule="exact"/>
              <w:jc w:val="center"/>
              <w:rPr>
                <w:rFonts w:ascii="Times New Roman" w:hAnsi="Times New Roman" w:eastAsia="仿宋_GB2312" w:cs="Times New Roman"/>
                <w:kern w:val="0"/>
                <w:sz w:val="18"/>
                <w:szCs w:val="18"/>
                <w:lang w:val="en-US" w:eastAsia="zh-CN" w:bidi="ar-SA"/>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p>
        </w:tc>
        <w:tc>
          <w:tcPr>
            <w:tcW w:w="741" w:type="dxa"/>
            <w:tcMar>
              <w:left w:w="0" w:type="dxa"/>
              <w:right w:w="0" w:type="dxa"/>
            </w:tcMar>
            <w:vAlign w:val="center"/>
          </w:tcPr>
          <w:p>
            <w:pPr>
              <w:widowControl/>
              <w:spacing w:line="240" w:lineRule="exact"/>
              <w:jc w:val="center"/>
              <w:rPr>
                <w:rFonts w:ascii="仿宋_GB2312" w:hAnsi="仿宋_GB2312" w:eastAsia="仿宋_GB2312" w:cs="仿宋_GB2312"/>
                <w:kern w:val="0"/>
                <w:sz w:val="18"/>
                <w:szCs w:val="18"/>
                <w:lang w:val="en-US" w:eastAsia="zh-CN" w:bidi="ar-SA"/>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rFonts w:hint="eastAsia"/>
                <w:kern w:val="0"/>
                <w:sz w:val="18"/>
                <w:szCs w:val="18"/>
                <w:lang w:val="en-US" w:eastAsia="zh-CN"/>
              </w:rPr>
              <w:t>1</w:t>
            </w:r>
            <w:r>
              <w:rPr>
                <w:kern w:val="0"/>
                <w:sz w:val="18"/>
                <w:szCs w:val="18"/>
              </w:rPr>
              <w:t>0</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172</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64</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108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34090310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操作系统</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Operation System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rFonts w:hint="eastAsia" w:eastAsia="仿宋_GB2312"/>
                <w:kern w:val="0"/>
                <w:sz w:val="18"/>
                <w:szCs w:val="18"/>
                <w:lang w:val="en-US" w:eastAsia="zh-CN"/>
              </w:rPr>
            </w:pPr>
            <w:r>
              <w:rPr>
                <w:rFonts w:hint="eastAsia"/>
                <w:kern w:val="0"/>
                <w:sz w:val="18"/>
                <w:szCs w:val="18"/>
                <w:lang w:val="en-US" w:eastAsia="zh-CN"/>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数据结构</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Data Structure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34251070</w:t>
            </w:r>
          </w:p>
        </w:tc>
        <w:tc>
          <w:tcPr>
            <w:tcW w:w="2229" w:type="dxa"/>
            <w:tcMar>
              <w:left w:w="0" w:type="dxa"/>
              <w:right w:w="0" w:type="dxa"/>
            </w:tcMar>
            <w:vAlign w:val="center"/>
          </w:tcPr>
          <w:p>
            <w:pPr>
              <w:spacing w:line="240" w:lineRule="exact"/>
              <w:jc w:val="center"/>
              <w:rPr>
                <w:rFonts w:ascii="仿宋_GB2312" w:hAnsi="仿宋_GB2312" w:cs="仿宋_GB2312"/>
                <w:color w:val="0000FF"/>
                <w:kern w:val="0"/>
                <w:sz w:val="18"/>
                <w:szCs w:val="18"/>
              </w:rPr>
            </w:pPr>
            <w:r>
              <w:rPr>
                <w:rFonts w:hint="eastAsia" w:ascii="仿宋_GB2312" w:hAnsi="仿宋_GB2312" w:cs="仿宋_GB2312"/>
                <w:color w:val="0000FF"/>
                <w:kern w:val="0"/>
                <w:sz w:val="18"/>
                <w:szCs w:val="18"/>
              </w:rPr>
              <w:t>python互联网数据获取</w:t>
            </w:r>
          </w:p>
          <w:p>
            <w:pPr>
              <w:spacing w:line="240" w:lineRule="exact"/>
              <w:jc w:val="center"/>
              <w:rPr>
                <w:rFonts w:ascii="仿宋_GB2312" w:hAnsi="仿宋_GB2312" w:cs="仿宋_GB2312"/>
                <w:color w:val="0000FF"/>
                <w:kern w:val="0"/>
                <w:sz w:val="18"/>
                <w:szCs w:val="18"/>
              </w:rPr>
            </w:pPr>
            <w:r>
              <w:rPr>
                <w:rFonts w:hint="eastAsia" w:eastAsia="宋体" w:cs="宋体"/>
                <w:color w:val="0000FF"/>
                <w:kern w:val="0"/>
                <w:sz w:val="18"/>
                <w:szCs w:val="18"/>
              </w:rPr>
              <w:t>Python Internet Data Acquisition</w:t>
            </w:r>
          </w:p>
        </w:tc>
        <w:tc>
          <w:tcPr>
            <w:tcW w:w="547" w:type="dxa"/>
            <w:tcMar>
              <w:left w:w="0" w:type="dxa"/>
              <w:right w:w="0" w:type="dxa"/>
            </w:tcMar>
            <w:vAlign w:val="center"/>
          </w:tcPr>
          <w:p>
            <w:pPr>
              <w:widowControl/>
              <w:spacing w:line="240" w:lineRule="exact"/>
              <w:jc w:val="center"/>
              <w:rPr>
                <w:rFonts w:ascii="仿宋_GB2312" w:hAnsi="仿宋_GB2312" w:cs="仿宋_GB2312"/>
                <w:color w:val="0000FF"/>
                <w:kern w:val="0"/>
                <w:sz w:val="18"/>
                <w:szCs w:val="18"/>
              </w:rPr>
            </w:pPr>
            <w:r>
              <w:rPr>
                <w:rFonts w:hint="eastAsia"/>
                <w:color w:val="0000FF"/>
                <w:kern w:val="0"/>
                <w:sz w:val="18"/>
                <w:szCs w:val="18"/>
              </w:rPr>
              <w:t>2</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2.0</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32</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16</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16</w:t>
            </w:r>
          </w:p>
        </w:tc>
        <w:tc>
          <w:tcPr>
            <w:tcW w:w="547" w:type="dxa"/>
            <w:tcMar>
              <w:left w:w="0" w:type="dxa"/>
              <w:right w:w="0" w:type="dxa"/>
            </w:tcMar>
            <w:vAlign w:val="center"/>
          </w:tcPr>
          <w:p>
            <w:pPr>
              <w:widowControl/>
              <w:spacing w:line="240" w:lineRule="exact"/>
              <w:jc w:val="center"/>
              <w:rPr>
                <w:color w:val="0000FF"/>
                <w:kern w:val="0"/>
                <w:sz w:val="18"/>
                <w:szCs w:val="18"/>
              </w:rPr>
            </w:pP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w:t>
            </w:r>
          </w:p>
        </w:tc>
        <w:tc>
          <w:tcPr>
            <w:tcW w:w="551" w:type="dxa"/>
            <w:tcMar>
              <w:left w:w="0" w:type="dxa"/>
              <w:right w:w="0" w:type="dxa"/>
            </w:tcMar>
            <w:vAlign w:val="center"/>
          </w:tcPr>
          <w:p>
            <w:pPr>
              <w:widowControl/>
              <w:spacing w:line="240" w:lineRule="exact"/>
              <w:jc w:val="center"/>
              <w:rPr>
                <w:color w:val="0000FF"/>
                <w:kern w:val="0"/>
                <w:sz w:val="18"/>
                <w:szCs w:val="18"/>
              </w:rPr>
            </w:pPr>
            <w:r>
              <w:rPr>
                <w:rFonts w:hint="eastAsia"/>
                <w:color w:val="0000FF"/>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34251200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计算机网络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Computer Network</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34251940</w:t>
            </w:r>
          </w:p>
        </w:tc>
        <w:tc>
          <w:tcPr>
            <w:tcW w:w="2229" w:type="dxa"/>
            <w:tcMar>
              <w:left w:w="0" w:type="dxa"/>
              <w:right w:w="0" w:type="dxa"/>
            </w:tcMar>
            <w:vAlign w:val="center"/>
          </w:tcPr>
          <w:p>
            <w:pPr>
              <w:spacing w:line="240" w:lineRule="exact"/>
              <w:jc w:val="center"/>
              <w:rPr>
                <w:rFonts w:ascii="仿宋_GB2312" w:hAnsi="仿宋_GB2312" w:cs="仿宋_GB2312"/>
                <w:color w:val="0000FF"/>
                <w:kern w:val="0"/>
                <w:sz w:val="18"/>
                <w:szCs w:val="18"/>
              </w:rPr>
            </w:pPr>
            <w:r>
              <w:rPr>
                <w:rFonts w:hint="eastAsia" w:ascii="仿宋_GB2312" w:hAnsi="仿宋_GB2312" w:cs="仿宋_GB2312"/>
                <w:color w:val="0000FF"/>
                <w:kern w:val="0"/>
                <w:sz w:val="18"/>
                <w:szCs w:val="18"/>
              </w:rPr>
              <w:t>工程经济学</w:t>
            </w:r>
          </w:p>
          <w:p>
            <w:pPr>
              <w:spacing w:line="240" w:lineRule="exact"/>
              <w:jc w:val="center"/>
              <w:rPr>
                <w:rFonts w:ascii="仿宋_GB2312" w:hAnsi="仿宋_GB2312" w:cs="仿宋_GB2312"/>
                <w:color w:val="0000FF"/>
                <w:kern w:val="0"/>
                <w:sz w:val="18"/>
                <w:szCs w:val="18"/>
              </w:rPr>
            </w:pPr>
            <w:r>
              <w:rPr>
                <w:rFonts w:hint="eastAsia" w:eastAsia="宋体" w:cs="宋体"/>
                <w:color w:val="0000FF"/>
                <w:kern w:val="0"/>
                <w:sz w:val="18"/>
                <w:szCs w:val="18"/>
              </w:rPr>
              <w:t>Engineering Economics</w:t>
            </w:r>
          </w:p>
        </w:tc>
        <w:tc>
          <w:tcPr>
            <w:tcW w:w="547" w:type="dxa"/>
            <w:tcMar>
              <w:left w:w="0" w:type="dxa"/>
              <w:right w:w="0" w:type="dxa"/>
            </w:tcMar>
            <w:vAlign w:val="center"/>
          </w:tcPr>
          <w:p>
            <w:pPr>
              <w:widowControl/>
              <w:spacing w:line="240" w:lineRule="exact"/>
              <w:jc w:val="center"/>
              <w:rPr>
                <w:rFonts w:ascii="仿宋_GB2312" w:hAnsi="仿宋_GB2312" w:cs="仿宋_GB2312"/>
                <w:color w:val="0000FF"/>
                <w:kern w:val="0"/>
                <w:sz w:val="18"/>
                <w:szCs w:val="18"/>
              </w:rPr>
            </w:pPr>
            <w:r>
              <w:rPr>
                <w:rFonts w:hint="eastAsia"/>
                <w:color w:val="0000FF"/>
                <w:kern w:val="0"/>
                <w:sz w:val="18"/>
                <w:szCs w:val="18"/>
              </w:rPr>
              <w:t>2</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2.0</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32</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32</w:t>
            </w:r>
          </w:p>
        </w:tc>
        <w:tc>
          <w:tcPr>
            <w:tcW w:w="547" w:type="dxa"/>
            <w:tcMar>
              <w:left w:w="0" w:type="dxa"/>
              <w:right w:w="0" w:type="dxa"/>
            </w:tcMar>
            <w:vAlign w:val="center"/>
          </w:tcPr>
          <w:p>
            <w:pPr>
              <w:widowControl/>
              <w:spacing w:line="240" w:lineRule="exact"/>
              <w:jc w:val="center"/>
              <w:rPr>
                <w:color w:val="0000FF"/>
                <w:kern w:val="0"/>
                <w:sz w:val="18"/>
                <w:szCs w:val="18"/>
              </w:rPr>
            </w:pPr>
          </w:p>
        </w:tc>
        <w:tc>
          <w:tcPr>
            <w:tcW w:w="547" w:type="dxa"/>
            <w:tcMar>
              <w:left w:w="0" w:type="dxa"/>
              <w:right w:w="0" w:type="dxa"/>
            </w:tcMar>
            <w:vAlign w:val="center"/>
          </w:tcPr>
          <w:p>
            <w:pPr>
              <w:widowControl/>
              <w:spacing w:line="240" w:lineRule="exact"/>
              <w:jc w:val="center"/>
              <w:rPr>
                <w:color w:val="0000FF"/>
                <w:kern w:val="0"/>
                <w:sz w:val="18"/>
                <w:szCs w:val="18"/>
              </w:rPr>
            </w:pP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34250150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移动应用开发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Mobile application development2.0</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34250210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软件体系结构</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Software architecture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34250010</w:t>
            </w:r>
          </w:p>
        </w:tc>
        <w:tc>
          <w:tcPr>
            <w:tcW w:w="2229" w:type="dxa"/>
            <w:tcMar>
              <w:left w:w="0" w:type="dxa"/>
              <w:right w:w="0" w:type="dxa"/>
            </w:tcMar>
            <w:vAlign w:val="center"/>
          </w:tcPr>
          <w:p>
            <w:pPr>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信息安全技术</w:t>
            </w:r>
          </w:p>
          <w:p>
            <w:pPr>
              <w:spacing w:line="240" w:lineRule="exact"/>
              <w:jc w:val="center"/>
              <w:rPr>
                <w:rFonts w:ascii="仿宋_GB2312" w:hAnsi="仿宋_GB2312" w:cs="仿宋_GB2312"/>
                <w:color w:val="C00000"/>
                <w:kern w:val="0"/>
                <w:sz w:val="18"/>
                <w:szCs w:val="18"/>
              </w:rPr>
            </w:pPr>
            <w:r>
              <w:rPr>
                <w:rFonts w:hint="eastAsia" w:eastAsia="宋体" w:cs="宋体"/>
                <w:color w:val="C00000"/>
                <w:kern w:val="0"/>
                <w:sz w:val="18"/>
                <w:szCs w:val="18"/>
              </w:rPr>
              <w:t>Information security technology</w:t>
            </w:r>
          </w:p>
        </w:tc>
        <w:tc>
          <w:tcPr>
            <w:tcW w:w="547"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color w:val="C00000"/>
                <w:kern w:val="0"/>
                <w:sz w:val="18"/>
                <w:szCs w:val="18"/>
              </w:rPr>
              <w:t>6</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2.0</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32</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24</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8</w:t>
            </w: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w:t>
            </w:r>
          </w:p>
        </w:tc>
        <w:tc>
          <w:tcPr>
            <w:tcW w:w="551" w:type="dxa"/>
            <w:tcMar>
              <w:left w:w="0" w:type="dxa"/>
              <w:right w:w="0" w:type="dxa"/>
            </w:tcMar>
            <w:vAlign w:val="center"/>
          </w:tcPr>
          <w:p>
            <w:pPr>
              <w:widowControl/>
              <w:spacing w:line="240" w:lineRule="exact"/>
              <w:jc w:val="center"/>
              <w:rPr>
                <w:color w:val="C00000"/>
                <w:kern w:val="0"/>
                <w:sz w:val="18"/>
                <w:szCs w:val="18"/>
              </w:rPr>
            </w:pPr>
            <w:r>
              <w:rPr>
                <w:rFonts w:hint="eastAsia"/>
                <w:color w:val="C00000"/>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34250230</w:t>
            </w:r>
          </w:p>
        </w:tc>
        <w:tc>
          <w:tcPr>
            <w:tcW w:w="2229" w:type="dxa"/>
            <w:tcMar>
              <w:left w:w="0" w:type="dxa"/>
              <w:right w:w="0" w:type="dxa"/>
            </w:tcMar>
            <w:vAlign w:val="center"/>
          </w:tcPr>
          <w:p>
            <w:pPr>
              <w:spacing w:line="240" w:lineRule="exact"/>
              <w:jc w:val="center"/>
              <w:rPr>
                <w:rFonts w:ascii="仿宋_GB2312" w:hAnsi="仿宋_GB2312" w:cs="仿宋_GB2312"/>
                <w:color w:val="0000FF"/>
                <w:kern w:val="0"/>
                <w:sz w:val="18"/>
                <w:szCs w:val="18"/>
              </w:rPr>
            </w:pPr>
            <w:r>
              <w:rPr>
                <w:rFonts w:hint="eastAsia" w:ascii="仿宋_GB2312" w:hAnsi="仿宋_GB2312" w:cs="仿宋_GB2312"/>
                <w:color w:val="0000FF"/>
                <w:kern w:val="0"/>
                <w:sz w:val="18"/>
                <w:szCs w:val="18"/>
              </w:rPr>
              <w:t>算法分析与设计</w:t>
            </w:r>
          </w:p>
          <w:p>
            <w:pPr>
              <w:spacing w:line="240" w:lineRule="exact"/>
              <w:jc w:val="center"/>
              <w:rPr>
                <w:rFonts w:ascii="仿宋_GB2312" w:hAnsi="仿宋_GB2312" w:cs="仿宋_GB2312"/>
                <w:color w:val="0000FF"/>
                <w:kern w:val="0"/>
                <w:sz w:val="18"/>
                <w:szCs w:val="18"/>
              </w:rPr>
            </w:pPr>
            <w:r>
              <w:rPr>
                <w:rFonts w:hint="eastAsia" w:eastAsia="宋体" w:cs="宋体"/>
                <w:color w:val="0000FF"/>
                <w:kern w:val="0"/>
                <w:sz w:val="18"/>
                <w:szCs w:val="18"/>
              </w:rPr>
              <w:t>Design and Analysis of Algorithms</w:t>
            </w:r>
          </w:p>
        </w:tc>
        <w:tc>
          <w:tcPr>
            <w:tcW w:w="547" w:type="dxa"/>
            <w:tcMar>
              <w:left w:w="0" w:type="dxa"/>
              <w:right w:w="0" w:type="dxa"/>
            </w:tcMar>
            <w:vAlign w:val="center"/>
          </w:tcPr>
          <w:p>
            <w:pPr>
              <w:widowControl/>
              <w:spacing w:line="240" w:lineRule="exact"/>
              <w:jc w:val="center"/>
              <w:rPr>
                <w:rFonts w:ascii="仿宋_GB2312" w:hAnsi="仿宋_GB2312" w:cs="仿宋_GB2312"/>
                <w:color w:val="0000FF"/>
                <w:kern w:val="0"/>
                <w:sz w:val="18"/>
                <w:szCs w:val="18"/>
              </w:rPr>
            </w:pPr>
            <w:r>
              <w:rPr>
                <w:rFonts w:hint="eastAsia"/>
                <w:color w:val="0000FF"/>
                <w:kern w:val="0"/>
                <w:sz w:val="18"/>
                <w:szCs w:val="18"/>
              </w:rPr>
              <w:t>3</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2.0</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32</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20</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12</w:t>
            </w:r>
          </w:p>
        </w:tc>
        <w:tc>
          <w:tcPr>
            <w:tcW w:w="547" w:type="dxa"/>
            <w:tcMar>
              <w:left w:w="0" w:type="dxa"/>
              <w:right w:w="0" w:type="dxa"/>
            </w:tcMar>
            <w:vAlign w:val="center"/>
          </w:tcPr>
          <w:p>
            <w:pPr>
              <w:widowControl/>
              <w:spacing w:line="240" w:lineRule="exact"/>
              <w:jc w:val="center"/>
              <w:rPr>
                <w:color w:val="0000FF"/>
                <w:kern w:val="0"/>
                <w:sz w:val="18"/>
                <w:szCs w:val="18"/>
              </w:rPr>
            </w:pP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大数据分析与开发</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Big Data Analysis and Development</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大数据平台技术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Big Data Platform Technology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34250600</w:t>
            </w:r>
          </w:p>
        </w:tc>
        <w:tc>
          <w:tcPr>
            <w:tcW w:w="2229" w:type="dxa"/>
            <w:tcMar>
              <w:left w:w="0" w:type="dxa"/>
              <w:right w:w="0" w:type="dxa"/>
            </w:tcMar>
            <w:vAlign w:val="center"/>
          </w:tcPr>
          <w:p>
            <w:pPr>
              <w:spacing w:line="240" w:lineRule="exact"/>
              <w:jc w:val="center"/>
              <w:rPr>
                <w:rFonts w:ascii="仿宋_GB2312" w:hAnsi="仿宋_GB2312" w:cs="仿宋_GB2312"/>
                <w:color w:val="0000FF"/>
                <w:kern w:val="0"/>
                <w:sz w:val="18"/>
                <w:szCs w:val="18"/>
              </w:rPr>
            </w:pPr>
            <w:r>
              <w:rPr>
                <w:rFonts w:hint="eastAsia" w:ascii="仿宋_GB2312" w:hAnsi="仿宋_GB2312" w:cs="仿宋_GB2312"/>
                <w:color w:val="0000FF"/>
                <w:kern w:val="0"/>
                <w:sz w:val="18"/>
                <w:szCs w:val="18"/>
              </w:rPr>
              <w:t>用户界面设计与评测</w:t>
            </w:r>
          </w:p>
          <w:p>
            <w:pPr>
              <w:spacing w:line="240" w:lineRule="exact"/>
              <w:jc w:val="center"/>
              <w:rPr>
                <w:rFonts w:ascii="仿宋_GB2312" w:hAnsi="仿宋_GB2312" w:cs="仿宋_GB2312"/>
                <w:color w:val="0000FF"/>
                <w:kern w:val="0"/>
                <w:sz w:val="18"/>
                <w:szCs w:val="18"/>
              </w:rPr>
            </w:pPr>
            <w:r>
              <w:rPr>
                <w:rFonts w:hint="eastAsia" w:eastAsia="宋体" w:cs="宋体"/>
                <w:color w:val="0000FF"/>
                <w:kern w:val="0"/>
                <w:sz w:val="18"/>
                <w:szCs w:val="18"/>
              </w:rPr>
              <w:t>User Interface Design and Evaluation</w:t>
            </w:r>
          </w:p>
        </w:tc>
        <w:tc>
          <w:tcPr>
            <w:tcW w:w="547" w:type="dxa"/>
            <w:tcMar>
              <w:left w:w="0" w:type="dxa"/>
              <w:right w:w="0" w:type="dxa"/>
            </w:tcMar>
            <w:vAlign w:val="center"/>
          </w:tcPr>
          <w:p>
            <w:pPr>
              <w:widowControl/>
              <w:spacing w:line="240" w:lineRule="exact"/>
              <w:jc w:val="center"/>
              <w:rPr>
                <w:rFonts w:ascii="仿宋_GB2312" w:hAnsi="仿宋_GB2312" w:cs="仿宋_GB2312"/>
                <w:color w:val="0000FF"/>
                <w:kern w:val="0"/>
                <w:sz w:val="18"/>
                <w:szCs w:val="18"/>
              </w:rPr>
            </w:pPr>
            <w:r>
              <w:rPr>
                <w:rFonts w:hint="eastAsia"/>
                <w:color w:val="0000FF"/>
                <w:kern w:val="0"/>
                <w:sz w:val="18"/>
                <w:szCs w:val="18"/>
              </w:rPr>
              <w:t>3</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2.0</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32</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16</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16</w:t>
            </w:r>
          </w:p>
        </w:tc>
        <w:tc>
          <w:tcPr>
            <w:tcW w:w="547" w:type="dxa"/>
            <w:tcMar>
              <w:left w:w="0" w:type="dxa"/>
              <w:right w:w="0" w:type="dxa"/>
            </w:tcMar>
            <w:vAlign w:val="center"/>
          </w:tcPr>
          <w:p>
            <w:pPr>
              <w:widowControl/>
              <w:spacing w:line="240" w:lineRule="exact"/>
              <w:jc w:val="center"/>
              <w:rPr>
                <w:color w:val="0000FF"/>
                <w:kern w:val="0"/>
                <w:sz w:val="18"/>
                <w:szCs w:val="18"/>
              </w:rPr>
            </w:pP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w:t>
            </w:r>
          </w:p>
        </w:tc>
        <w:tc>
          <w:tcPr>
            <w:tcW w:w="551" w:type="dxa"/>
            <w:tcMar>
              <w:left w:w="0" w:type="dxa"/>
              <w:right w:w="0" w:type="dxa"/>
            </w:tcMar>
            <w:vAlign w:val="center"/>
          </w:tcPr>
          <w:p>
            <w:pPr>
              <w:widowControl/>
              <w:spacing w:line="240" w:lineRule="exact"/>
              <w:jc w:val="center"/>
              <w:rPr>
                <w:color w:val="0000FF"/>
                <w:kern w:val="0"/>
                <w:sz w:val="18"/>
                <w:szCs w:val="18"/>
              </w:rPr>
            </w:pPr>
            <w:r>
              <w:rPr>
                <w:rFonts w:hint="eastAsia"/>
                <w:color w:val="0000FF"/>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34251430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数据挖掘</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Date Mining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34250040</w:t>
            </w:r>
          </w:p>
        </w:tc>
        <w:tc>
          <w:tcPr>
            <w:tcW w:w="2229" w:type="dxa"/>
            <w:tcMar>
              <w:left w:w="0" w:type="dxa"/>
              <w:right w:w="0" w:type="dxa"/>
            </w:tcMar>
            <w:vAlign w:val="center"/>
          </w:tcPr>
          <w:p>
            <w:pPr>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神经网络与深度学习</w:t>
            </w:r>
          </w:p>
          <w:p>
            <w:pPr>
              <w:spacing w:line="240" w:lineRule="exact"/>
              <w:jc w:val="center"/>
              <w:rPr>
                <w:rFonts w:ascii="仿宋_GB2312" w:hAnsi="仿宋_GB2312" w:cs="仿宋_GB2312"/>
                <w:color w:val="C00000"/>
                <w:kern w:val="0"/>
                <w:sz w:val="18"/>
                <w:szCs w:val="18"/>
              </w:rPr>
            </w:pPr>
            <w:r>
              <w:rPr>
                <w:rFonts w:hint="eastAsia" w:eastAsia="宋体" w:cs="宋体"/>
                <w:color w:val="C00000"/>
                <w:kern w:val="0"/>
                <w:sz w:val="18"/>
                <w:szCs w:val="18"/>
              </w:rPr>
              <w:t>Neural Network and Deep Learning</w:t>
            </w:r>
          </w:p>
        </w:tc>
        <w:tc>
          <w:tcPr>
            <w:tcW w:w="547" w:type="dxa"/>
            <w:tcMar>
              <w:left w:w="0" w:type="dxa"/>
              <w:right w:w="0" w:type="dxa"/>
            </w:tcMar>
            <w:vAlign w:val="center"/>
          </w:tcPr>
          <w:p>
            <w:pPr>
              <w:widowControl/>
              <w:spacing w:line="240" w:lineRule="exact"/>
              <w:jc w:val="center"/>
              <w:rPr>
                <w:rFonts w:hint="eastAsia" w:ascii="仿宋_GB2312" w:hAnsi="仿宋_GB2312" w:eastAsia="仿宋_GB2312" w:cs="仿宋_GB2312"/>
                <w:color w:val="C00000"/>
                <w:kern w:val="0"/>
                <w:sz w:val="18"/>
                <w:szCs w:val="18"/>
                <w:lang w:eastAsia="zh-CN"/>
              </w:rPr>
            </w:pPr>
            <w:r>
              <w:rPr>
                <w:rFonts w:hint="eastAsia"/>
                <w:color w:val="C00000"/>
                <w:kern w:val="0"/>
                <w:sz w:val="18"/>
                <w:szCs w:val="18"/>
                <w:lang w:val="en-US" w:eastAsia="zh-CN"/>
              </w:rPr>
              <w:t>3</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2.0</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32</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24</w:t>
            </w: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8</w:t>
            </w:r>
          </w:p>
        </w:tc>
        <w:tc>
          <w:tcPr>
            <w:tcW w:w="547" w:type="dxa"/>
            <w:tcMar>
              <w:left w:w="0" w:type="dxa"/>
              <w:right w:w="0" w:type="dxa"/>
            </w:tcMar>
            <w:vAlign w:val="center"/>
          </w:tcPr>
          <w:p>
            <w:pPr>
              <w:widowControl/>
              <w:spacing w:line="240" w:lineRule="exact"/>
              <w:jc w:val="center"/>
              <w:rPr>
                <w:color w:val="C00000"/>
                <w:kern w:val="0"/>
                <w:sz w:val="18"/>
                <w:szCs w:val="18"/>
              </w:rPr>
            </w:pPr>
          </w:p>
        </w:tc>
        <w:tc>
          <w:tcPr>
            <w:tcW w:w="547" w:type="dxa"/>
            <w:tcMar>
              <w:left w:w="0" w:type="dxa"/>
              <w:right w:w="0" w:type="dxa"/>
            </w:tcMar>
            <w:vAlign w:val="center"/>
          </w:tcPr>
          <w:p>
            <w:pPr>
              <w:widowControl/>
              <w:spacing w:line="240" w:lineRule="exact"/>
              <w:jc w:val="center"/>
              <w:rPr>
                <w:color w:val="C00000"/>
                <w:kern w:val="0"/>
                <w:sz w:val="18"/>
                <w:szCs w:val="18"/>
              </w:rPr>
            </w:pPr>
            <w:r>
              <w:rPr>
                <w:color w:val="C00000"/>
                <w:kern w:val="0"/>
                <w:sz w:val="18"/>
                <w:szCs w:val="18"/>
              </w:rPr>
              <w:t>2</w:t>
            </w:r>
          </w:p>
        </w:tc>
        <w:tc>
          <w:tcPr>
            <w:tcW w:w="551" w:type="dxa"/>
            <w:tcMar>
              <w:left w:w="0" w:type="dxa"/>
              <w:right w:w="0" w:type="dxa"/>
            </w:tcMar>
            <w:vAlign w:val="center"/>
          </w:tcPr>
          <w:p>
            <w:pPr>
              <w:widowControl/>
              <w:spacing w:line="240" w:lineRule="exact"/>
              <w:jc w:val="center"/>
              <w:rPr>
                <w:color w:val="C00000"/>
                <w:kern w:val="0"/>
                <w:sz w:val="18"/>
                <w:szCs w:val="18"/>
              </w:rPr>
            </w:pPr>
            <w:r>
              <w:rPr>
                <w:rFonts w:hint="eastAsia"/>
                <w:color w:val="C00000"/>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color w:val="C00000"/>
                <w:kern w:val="0"/>
                <w:sz w:val="18"/>
                <w:szCs w:val="18"/>
              </w:rPr>
            </w:pPr>
            <w:r>
              <w:rPr>
                <w:rFonts w:hint="eastAsia" w:ascii="仿宋_GB2312" w:hAnsi="仿宋_GB2312" w:cs="仿宋_GB2312"/>
                <w:color w:val="C00000"/>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34251950</w:t>
            </w:r>
          </w:p>
        </w:tc>
        <w:tc>
          <w:tcPr>
            <w:tcW w:w="2229" w:type="dxa"/>
            <w:tcMar>
              <w:left w:w="0" w:type="dxa"/>
              <w:right w:w="0" w:type="dxa"/>
            </w:tcMar>
            <w:vAlign w:val="center"/>
          </w:tcPr>
          <w:p>
            <w:pPr>
              <w:spacing w:line="240" w:lineRule="exact"/>
              <w:jc w:val="center"/>
              <w:rPr>
                <w:rFonts w:ascii="仿宋_GB2312" w:hAnsi="仿宋_GB2312" w:cs="仿宋_GB2312"/>
                <w:color w:val="0000FF"/>
                <w:kern w:val="0"/>
                <w:sz w:val="18"/>
                <w:szCs w:val="18"/>
              </w:rPr>
            </w:pPr>
            <w:r>
              <w:rPr>
                <w:rFonts w:hint="eastAsia" w:ascii="仿宋_GB2312" w:hAnsi="仿宋_GB2312" w:cs="仿宋_GB2312"/>
                <w:color w:val="0000FF"/>
                <w:kern w:val="0"/>
                <w:sz w:val="18"/>
                <w:szCs w:val="18"/>
              </w:rPr>
              <w:t>计算机专业英语</w:t>
            </w:r>
          </w:p>
          <w:p>
            <w:pPr>
              <w:spacing w:line="240" w:lineRule="exact"/>
              <w:jc w:val="center"/>
              <w:rPr>
                <w:rFonts w:ascii="仿宋_GB2312" w:hAnsi="仿宋_GB2312" w:cs="仿宋_GB2312"/>
                <w:color w:val="0000FF"/>
                <w:kern w:val="0"/>
                <w:sz w:val="18"/>
                <w:szCs w:val="18"/>
              </w:rPr>
            </w:pPr>
            <w:r>
              <w:rPr>
                <w:rFonts w:hint="eastAsia" w:eastAsia="宋体" w:cs="宋体"/>
                <w:color w:val="0000FF"/>
                <w:kern w:val="0"/>
                <w:sz w:val="18"/>
                <w:szCs w:val="18"/>
              </w:rPr>
              <w:t>Professional English of Computer</w:t>
            </w:r>
          </w:p>
        </w:tc>
        <w:tc>
          <w:tcPr>
            <w:tcW w:w="547" w:type="dxa"/>
            <w:tcMar>
              <w:left w:w="0" w:type="dxa"/>
              <w:right w:w="0" w:type="dxa"/>
            </w:tcMar>
            <w:vAlign w:val="center"/>
          </w:tcPr>
          <w:p>
            <w:pPr>
              <w:widowControl/>
              <w:spacing w:line="240" w:lineRule="exact"/>
              <w:jc w:val="center"/>
              <w:rPr>
                <w:rFonts w:ascii="仿宋_GB2312" w:hAnsi="仿宋_GB2312" w:cs="仿宋_GB2312"/>
                <w:color w:val="0000FF"/>
                <w:kern w:val="0"/>
                <w:sz w:val="18"/>
                <w:szCs w:val="18"/>
              </w:rPr>
            </w:pPr>
            <w:r>
              <w:rPr>
                <w:rFonts w:hint="eastAsia"/>
                <w:color w:val="0000FF"/>
                <w:kern w:val="0"/>
                <w:sz w:val="18"/>
                <w:szCs w:val="18"/>
              </w:rPr>
              <w:t>3</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2.0</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32</w:t>
            </w: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32</w:t>
            </w:r>
          </w:p>
        </w:tc>
        <w:tc>
          <w:tcPr>
            <w:tcW w:w="547" w:type="dxa"/>
            <w:tcMar>
              <w:left w:w="0" w:type="dxa"/>
              <w:right w:w="0" w:type="dxa"/>
            </w:tcMar>
            <w:vAlign w:val="center"/>
          </w:tcPr>
          <w:p>
            <w:pPr>
              <w:widowControl/>
              <w:spacing w:line="240" w:lineRule="exact"/>
              <w:jc w:val="center"/>
              <w:rPr>
                <w:color w:val="0000FF"/>
                <w:kern w:val="0"/>
                <w:sz w:val="18"/>
                <w:szCs w:val="18"/>
              </w:rPr>
            </w:pPr>
          </w:p>
        </w:tc>
        <w:tc>
          <w:tcPr>
            <w:tcW w:w="547" w:type="dxa"/>
            <w:tcMar>
              <w:left w:w="0" w:type="dxa"/>
              <w:right w:w="0" w:type="dxa"/>
            </w:tcMar>
            <w:vAlign w:val="center"/>
          </w:tcPr>
          <w:p>
            <w:pPr>
              <w:widowControl/>
              <w:spacing w:line="240" w:lineRule="exact"/>
              <w:jc w:val="center"/>
              <w:rPr>
                <w:color w:val="0000FF"/>
                <w:kern w:val="0"/>
                <w:sz w:val="18"/>
                <w:szCs w:val="18"/>
              </w:rPr>
            </w:pPr>
          </w:p>
        </w:tc>
        <w:tc>
          <w:tcPr>
            <w:tcW w:w="547" w:type="dxa"/>
            <w:tcMar>
              <w:left w:w="0" w:type="dxa"/>
              <w:right w:w="0" w:type="dxa"/>
            </w:tcMar>
            <w:vAlign w:val="center"/>
          </w:tcPr>
          <w:p>
            <w:pPr>
              <w:widowControl/>
              <w:spacing w:line="240" w:lineRule="exact"/>
              <w:jc w:val="center"/>
              <w:rPr>
                <w:color w:val="0000FF"/>
                <w:kern w:val="0"/>
                <w:sz w:val="18"/>
                <w:szCs w:val="18"/>
              </w:rPr>
            </w:pPr>
            <w:r>
              <w:rPr>
                <w:color w:val="0000FF"/>
                <w:kern w:val="0"/>
                <w:sz w:val="18"/>
                <w:szCs w:val="18"/>
              </w:rPr>
              <w:t>2</w:t>
            </w:r>
          </w:p>
        </w:tc>
        <w:tc>
          <w:tcPr>
            <w:tcW w:w="551" w:type="dxa"/>
            <w:tcMar>
              <w:left w:w="0" w:type="dxa"/>
              <w:right w:w="0" w:type="dxa"/>
            </w:tcMar>
            <w:vAlign w:val="center"/>
          </w:tcPr>
          <w:p>
            <w:pPr>
              <w:widowControl/>
              <w:spacing w:line="240" w:lineRule="exact"/>
              <w:jc w:val="center"/>
              <w:rPr>
                <w:color w:val="0000FF"/>
                <w:kern w:val="0"/>
                <w:sz w:val="18"/>
                <w:szCs w:val="18"/>
              </w:rPr>
            </w:pPr>
            <w:r>
              <w:rPr>
                <w:rFonts w:hint="eastAsia"/>
                <w:color w:val="0000FF"/>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color w:val="0000FF"/>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color w:val="0000FF"/>
                <w:kern w:val="0"/>
                <w:sz w:val="18"/>
                <w:szCs w:val="18"/>
              </w:rPr>
            </w:pPr>
            <w:r>
              <w:rPr>
                <w:rFonts w:hint="eastAsia" w:ascii="仿宋_GB2312" w:hAnsi="仿宋_GB2312" w:cs="仿宋_GB2312"/>
                <w:color w:val="0000FF"/>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技术认证课程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Technology Certification Course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12</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192</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140</w:t>
            </w:r>
          </w:p>
        </w:tc>
        <w:tc>
          <w:tcPr>
            <w:tcW w:w="547" w:type="dxa"/>
            <w:tcMar>
              <w:left w:w="0" w:type="dxa"/>
              <w:right w:w="0" w:type="dxa"/>
            </w:tcMar>
            <w:vAlign w:val="center"/>
          </w:tcPr>
          <w:p>
            <w:pPr>
              <w:widowControl/>
              <w:spacing w:line="240" w:lineRule="exact"/>
              <w:jc w:val="center"/>
              <w:rPr>
                <w:rFonts w:hint="default" w:eastAsia="仿宋_GB2312"/>
                <w:kern w:val="0"/>
                <w:sz w:val="18"/>
                <w:szCs w:val="18"/>
                <w:lang w:val="en-US" w:eastAsia="zh-CN"/>
              </w:rPr>
            </w:pPr>
            <w:r>
              <w:rPr>
                <w:rFonts w:hint="eastAsia"/>
                <w:kern w:val="0"/>
                <w:sz w:val="18"/>
                <w:szCs w:val="18"/>
                <w:lang w:val="en-US" w:eastAsia="zh-CN"/>
              </w:rPr>
              <w:t>52</w:t>
            </w:r>
          </w:p>
        </w:tc>
        <w:tc>
          <w:tcPr>
            <w:tcW w:w="547" w:type="dxa"/>
            <w:tcMar>
              <w:left w:w="0" w:type="dxa"/>
              <w:right w:w="0" w:type="dxa"/>
            </w:tcMar>
            <w:vAlign w:val="center"/>
          </w:tcPr>
          <w:p>
            <w:pPr>
              <w:widowControl/>
              <w:spacing w:line="240" w:lineRule="exact"/>
              <w:jc w:val="center"/>
              <w:rPr>
                <w:rFonts w:hint="eastAsia" w:eastAsia="仿宋_GB2312"/>
                <w:kern w:val="0"/>
                <w:sz w:val="18"/>
                <w:szCs w:val="18"/>
                <w:lang w:val="en-US" w:eastAsia="zh-CN"/>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7</w:t>
            </w:r>
            <w:r>
              <w:rPr>
                <w:rFonts w:hint="eastAsia" w:ascii="仿宋_GB2312" w:hAnsi="仿宋_GB2312" w:cs="仿宋_GB2312"/>
                <w:kern w:val="0"/>
                <w:sz w:val="18"/>
                <w:szCs w:val="18"/>
                <w:lang w:val="en-US" w:eastAsia="zh-CN"/>
              </w:rPr>
              <w:t>0</w:t>
            </w:r>
            <w:r>
              <w:rPr>
                <w:rFonts w:hint="eastAsia" w:ascii="仿宋_GB2312" w:hAnsi="仿宋_GB2312" w:cs="仿宋_GB2312"/>
                <w:kern w:val="0"/>
                <w:sz w:val="18"/>
                <w:szCs w:val="18"/>
              </w:rPr>
              <w:t>.5</w:t>
            </w:r>
          </w:p>
        </w:tc>
        <w:tc>
          <w:tcPr>
            <w:tcW w:w="547"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1126</w:t>
            </w:r>
          </w:p>
        </w:tc>
        <w:tc>
          <w:tcPr>
            <w:tcW w:w="547"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612</w:t>
            </w:r>
          </w:p>
        </w:tc>
        <w:tc>
          <w:tcPr>
            <w:tcW w:w="547"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474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40</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pStyle w:val="2"/>
        <w:spacing w:after="0" w:line="420" w:lineRule="exact"/>
        <w:ind w:hanging="8"/>
        <w:rPr>
          <w:rFonts w:ascii="仿宋_GB2312" w:hAnsi="仿宋_GB2312" w:eastAsia="仿宋_GB2312" w:cs="仿宋_GB2312"/>
          <w:sz w:val="24"/>
        </w:rPr>
      </w:pPr>
      <w:r>
        <w:rPr>
          <w:rFonts w:hint="eastAsia" w:ascii="仿宋_GB2312" w:hAnsi="仿宋_GB2312" w:eastAsia="仿宋_GB2312" w:cs="仿宋_GB2312"/>
          <w:sz w:val="24"/>
        </w:rPr>
        <w:t>备注：</w:t>
      </w:r>
    </w:p>
    <w:p>
      <w:pPr>
        <w:pStyle w:val="2"/>
        <w:spacing w:after="0" w:line="4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1.本专业适合学生考取职业资格证书有：JAVA应用开发职业技能等级证书(中级)、虚拟现实应用设计与制作。</w:t>
      </w:r>
    </w:p>
    <w:p>
      <w:pPr>
        <w:pStyle w:val="2"/>
        <w:spacing w:after="0" w:line="420" w:lineRule="exact"/>
        <w:ind w:left="14" w:firstLine="451" w:firstLineChars="188"/>
        <w:rPr>
          <w:rFonts w:ascii="仿宋_GB2312" w:hAnsi="仿宋_GB2312" w:eastAsia="仿宋_GB2312" w:cs="仿宋_GB2312"/>
          <w:sz w:val="24"/>
        </w:rPr>
      </w:pPr>
      <w:r>
        <w:rPr>
          <w:rFonts w:hint="eastAsia" w:ascii="仿宋_GB2312" w:eastAsia="仿宋_GB2312"/>
          <w:sz w:val="24"/>
        </w:rPr>
        <w:t>2.校企合作课程3门10.0学分，专创融合课程8门24.5学分。</w:t>
      </w:r>
    </w:p>
    <w:p>
      <w:pPr>
        <w:pStyle w:val="4"/>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8"/>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41251360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面向对象程序设计(Java)课程设计△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Object-oriented Programming (Java)Design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41251230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毕业论文（设计）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7.0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41250330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毕业实习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Graduation Practice</w:t>
            </w:r>
          </w:p>
        </w:tc>
        <w:tc>
          <w:tcPr>
            <w:tcW w:w="720" w:type="dxa"/>
            <w:vAlign w:val="center"/>
          </w:tcPr>
          <w:p>
            <w:pPr>
              <w:pStyle w:val="2"/>
              <w:spacing w:after="0" w:line="320" w:lineRule="exact"/>
              <w:jc w:val="center"/>
              <w:rPr>
                <w:rFonts w:hint="default" w:ascii="仿宋_GB2312" w:hAnsi="仿宋_GB2312" w:eastAsia="仿宋_GB2312" w:cs="仿宋_GB2312"/>
                <w:kern w:val="0"/>
                <w:sz w:val="18"/>
                <w:szCs w:val="18"/>
                <w:lang w:val="en-US" w:eastAsia="zh-CN"/>
              </w:rPr>
            </w:pPr>
            <w:r>
              <w:rPr>
                <w:rFonts w:eastAsia="仿宋_GB2312"/>
                <w:kern w:val="0"/>
                <w:sz w:val="18"/>
                <w:szCs w:val="18"/>
              </w:rPr>
              <w:t>4</w:t>
            </w:r>
            <w:r>
              <w:rPr>
                <w:rFonts w:hint="eastAsia" w:eastAsia="仿宋_GB2312"/>
                <w:kern w:val="0"/>
                <w:sz w:val="18"/>
                <w:szCs w:val="18"/>
                <w:lang w:val="en-US" w:eastAsia="zh-CN"/>
              </w:rPr>
              <w:t>+寒</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4.0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hint="default" w:eastAsia="仿宋_GB2312"/>
                <w:kern w:val="0"/>
                <w:sz w:val="18"/>
                <w:szCs w:val="18"/>
                <w:lang w:val="en-US" w:eastAsia="zh-CN"/>
              </w:rPr>
            </w:pPr>
            <w:r>
              <w:rPr>
                <w:rFonts w:eastAsia="仿宋_GB2312"/>
                <w:kern w:val="0"/>
                <w:sz w:val="18"/>
                <w:szCs w:val="18"/>
              </w:rPr>
              <w:t>8</w:t>
            </w:r>
            <w:r>
              <w:rPr>
                <w:rFonts w:hint="eastAsia" w:eastAsia="仿宋_GB2312"/>
                <w:kern w:val="0"/>
                <w:sz w:val="18"/>
                <w:szCs w:val="18"/>
                <w:lang w:val="en-US" w:eastAsia="zh-CN"/>
              </w:rPr>
              <w:t>+4</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企业实训（互联网应用开发）</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Enterprise Practical Training (Internet Application Development)</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3</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3.0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6</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ascii="Times New Roman" w:hAnsi="Times New Roman" w:eastAsia="仿宋_GB2312" w:cs="Times New Roman"/>
                <w:kern w:val="0"/>
                <w:sz w:val="18"/>
                <w:szCs w:val="18"/>
                <w:lang w:val="en-US" w:eastAsia="zh-CN" w:bidi="ar-SA"/>
              </w:rPr>
            </w:pPr>
            <w:r>
              <w:rPr>
                <w:rFonts w:eastAsia="仿宋_GB2312"/>
                <w:kern w:val="0"/>
                <w:szCs w:val="21"/>
              </w:rPr>
              <w:t>412500</w:t>
            </w:r>
            <w:r>
              <w:rPr>
                <w:rFonts w:hint="eastAsia" w:eastAsia="仿宋_GB2312"/>
                <w:kern w:val="0"/>
                <w:szCs w:val="21"/>
              </w:rPr>
              <w:t>4</w:t>
            </w:r>
            <w:r>
              <w:rPr>
                <w:rFonts w:eastAsia="仿宋_GB2312"/>
                <w:kern w:val="0"/>
                <w:szCs w:val="21"/>
              </w:rPr>
              <w:t>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企业实训（VR）</w:t>
            </w:r>
          </w:p>
          <w:p>
            <w:pPr>
              <w:pStyle w:val="2"/>
              <w:spacing w:after="0" w:line="220" w:lineRule="exact"/>
              <w:jc w:val="center"/>
              <w:rPr>
                <w:rFonts w:hint="eastAsia" w:ascii="仿宋_GB2312" w:hAnsi="仿宋_GB2312" w:eastAsia="仿宋_GB2312" w:cs="仿宋_GB2312"/>
                <w:kern w:val="0"/>
                <w:sz w:val="18"/>
                <w:szCs w:val="18"/>
                <w:lang w:val="en-US" w:eastAsia="zh-CN" w:bidi="ar-SA"/>
              </w:rPr>
            </w:pPr>
            <w:r>
              <w:rPr>
                <w:rFonts w:hint="eastAsia" w:eastAsia="仿宋_GB2312" w:cs="宋体"/>
                <w:kern w:val="0"/>
                <w:sz w:val="18"/>
                <w:szCs w:val="18"/>
              </w:rPr>
              <w:t>Enterprise Practical Training (Internet Application Development)</w:t>
            </w:r>
          </w:p>
        </w:tc>
        <w:tc>
          <w:tcPr>
            <w:tcW w:w="720" w:type="dxa"/>
            <w:vAlign w:val="center"/>
          </w:tcPr>
          <w:p>
            <w:pPr>
              <w:pStyle w:val="2"/>
              <w:spacing w:after="0" w:line="320" w:lineRule="exact"/>
              <w:jc w:val="center"/>
              <w:rPr>
                <w:rFonts w:ascii="仿宋_GB2312" w:hAnsi="仿宋_GB2312" w:eastAsia="仿宋_GB2312" w:cs="仿宋_GB2312"/>
                <w:kern w:val="0"/>
                <w:sz w:val="18"/>
                <w:szCs w:val="18"/>
                <w:lang w:val="en-US" w:eastAsia="zh-CN" w:bidi="ar-SA"/>
              </w:rPr>
            </w:pPr>
            <w:r>
              <w:rPr>
                <w:rFonts w:eastAsia="仿宋_GB2312"/>
                <w:kern w:val="0"/>
                <w:sz w:val="18"/>
                <w:szCs w:val="18"/>
              </w:rPr>
              <w:t>3</w:t>
            </w:r>
          </w:p>
        </w:tc>
        <w:tc>
          <w:tcPr>
            <w:tcW w:w="667" w:type="dxa"/>
            <w:vAlign w:val="center"/>
          </w:tcPr>
          <w:p>
            <w:pPr>
              <w:pStyle w:val="2"/>
              <w:spacing w:after="0" w:line="320" w:lineRule="exact"/>
              <w:jc w:val="center"/>
              <w:rPr>
                <w:rFonts w:ascii="Times New Roman" w:hAnsi="Times New Roman" w:eastAsia="仿宋_GB2312" w:cs="Times New Roman"/>
                <w:kern w:val="0"/>
                <w:sz w:val="18"/>
                <w:szCs w:val="18"/>
                <w:lang w:val="en-US" w:eastAsia="zh-CN" w:bidi="ar-SA"/>
              </w:rPr>
            </w:pPr>
            <w:r>
              <w:rPr>
                <w:rFonts w:eastAsia="仿宋_GB2312"/>
                <w:kern w:val="0"/>
                <w:sz w:val="18"/>
                <w:szCs w:val="18"/>
              </w:rPr>
              <w:t>3.0</w:t>
            </w:r>
          </w:p>
        </w:tc>
        <w:tc>
          <w:tcPr>
            <w:tcW w:w="692" w:type="dxa"/>
            <w:vAlign w:val="center"/>
          </w:tcPr>
          <w:p>
            <w:pPr>
              <w:pStyle w:val="2"/>
              <w:spacing w:after="0" w:line="32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限选</w:t>
            </w:r>
          </w:p>
        </w:tc>
        <w:tc>
          <w:tcPr>
            <w:tcW w:w="709" w:type="dxa"/>
            <w:vAlign w:val="center"/>
          </w:tcPr>
          <w:p>
            <w:pPr>
              <w:pStyle w:val="2"/>
              <w:spacing w:after="0" w:line="320" w:lineRule="exact"/>
              <w:jc w:val="center"/>
              <w:rPr>
                <w:rFonts w:ascii="Times New Roman" w:hAnsi="Times New Roman" w:eastAsia="仿宋_GB2312" w:cs="Times New Roman"/>
                <w:kern w:val="0"/>
                <w:sz w:val="18"/>
                <w:szCs w:val="18"/>
                <w:lang w:val="en-US" w:eastAsia="zh-CN" w:bidi="ar-SA"/>
              </w:rPr>
            </w:pPr>
            <w:r>
              <w:rPr>
                <w:rFonts w:eastAsia="仿宋_GB2312"/>
                <w:kern w:val="0"/>
                <w:sz w:val="18"/>
                <w:szCs w:val="18"/>
              </w:rPr>
              <w:t>6</w:t>
            </w:r>
          </w:p>
        </w:tc>
        <w:tc>
          <w:tcPr>
            <w:tcW w:w="1134" w:type="dxa"/>
            <w:tcMar>
              <w:left w:w="0" w:type="dxa"/>
              <w:right w:w="0" w:type="dxa"/>
            </w:tcMar>
            <w:vAlign w:val="center"/>
          </w:tcPr>
          <w:p>
            <w:pPr>
              <w:pStyle w:val="2"/>
              <w:spacing w:after="0" w:line="32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专业实训</w:t>
            </w:r>
          </w:p>
        </w:tc>
        <w:tc>
          <w:tcPr>
            <w:tcW w:w="1605" w:type="dxa"/>
            <w:tcMar>
              <w:left w:w="0" w:type="dxa"/>
              <w:right w:w="0" w:type="dxa"/>
            </w:tcMar>
            <w:vAlign w:val="center"/>
          </w:tcPr>
          <w:p>
            <w:pPr>
              <w:pStyle w:val="2"/>
              <w:spacing w:after="0" w:line="320" w:lineRule="exact"/>
              <w:jc w:val="center"/>
              <w:rPr>
                <w:rFonts w:hint="eastAsia" w:ascii="仿宋_GB2312" w:hAnsi="仿宋_GB2312" w:eastAsia="仿宋_GB2312" w:cs="仿宋_GB2312"/>
                <w:kern w:val="0"/>
                <w:sz w:val="18"/>
                <w:szCs w:val="18"/>
                <w:lang w:val="en-US" w:eastAsia="zh-CN" w:bidi="ar-SA"/>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color w:val="FF0000"/>
                <w:kern w:val="0"/>
                <w:sz w:val="18"/>
                <w:szCs w:val="18"/>
              </w:rPr>
            </w:pPr>
            <w:r>
              <w:rPr>
                <w:rFonts w:hint="eastAsia" w:eastAsia="仿宋_GB2312"/>
                <w:color w:val="FF0000"/>
                <w:kern w:val="0"/>
                <w:sz w:val="18"/>
                <w:szCs w:val="18"/>
              </w:rPr>
              <w:t>41250190</w:t>
            </w:r>
          </w:p>
        </w:tc>
        <w:tc>
          <w:tcPr>
            <w:tcW w:w="2440" w:type="dxa"/>
            <w:vAlign w:val="center"/>
          </w:tcPr>
          <w:p>
            <w:pPr>
              <w:pStyle w:val="2"/>
              <w:spacing w:after="0" w:line="220" w:lineRule="exact"/>
              <w:jc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大型数据库课程设计</w:t>
            </w:r>
          </w:p>
          <w:p>
            <w:pPr>
              <w:pStyle w:val="2"/>
              <w:spacing w:after="0" w:line="220" w:lineRule="exact"/>
              <w:jc w:val="center"/>
              <w:rPr>
                <w:rFonts w:ascii="仿宋_GB2312" w:hAnsi="仿宋_GB2312" w:eastAsia="仿宋_GB2312" w:cs="仿宋_GB2312"/>
                <w:color w:val="FF0000"/>
                <w:kern w:val="0"/>
                <w:sz w:val="18"/>
                <w:szCs w:val="18"/>
              </w:rPr>
            </w:pPr>
            <w:r>
              <w:rPr>
                <w:rFonts w:hint="eastAsia" w:eastAsia="仿宋_GB2312" w:cs="宋体"/>
                <w:color w:val="FF0000"/>
                <w:kern w:val="0"/>
                <w:sz w:val="18"/>
                <w:szCs w:val="18"/>
              </w:rPr>
              <w:t>Large-Scale Database Curriculum Design</w:t>
            </w:r>
          </w:p>
        </w:tc>
        <w:tc>
          <w:tcPr>
            <w:tcW w:w="720" w:type="dxa"/>
            <w:vAlign w:val="center"/>
          </w:tcPr>
          <w:p>
            <w:pPr>
              <w:pStyle w:val="2"/>
              <w:spacing w:after="0" w:line="320" w:lineRule="exact"/>
              <w:jc w:val="center"/>
              <w:rPr>
                <w:rFonts w:ascii="仿宋_GB2312" w:hAnsi="仿宋_GB2312" w:eastAsia="仿宋_GB2312" w:cs="仿宋_GB2312"/>
                <w:color w:val="FF0000"/>
                <w:kern w:val="0"/>
                <w:sz w:val="18"/>
                <w:szCs w:val="18"/>
              </w:rPr>
            </w:pPr>
            <w:r>
              <w:rPr>
                <w:rFonts w:eastAsia="仿宋_GB2312"/>
                <w:color w:val="FF0000"/>
                <w:kern w:val="0"/>
                <w:sz w:val="18"/>
                <w:szCs w:val="18"/>
              </w:rPr>
              <w:t>2</w:t>
            </w:r>
          </w:p>
        </w:tc>
        <w:tc>
          <w:tcPr>
            <w:tcW w:w="667" w:type="dxa"/>
            <w:vAlign w:val="center"/>
          </w:tcPr>
          <w:p>
            <w:pPr>
              <w:pStyle w:val="2"/>
              <w:spacing w:after="0" w:line="320" w:lineRule="exact"/>
              <w:jc w:val="center"/>
              <w:rPr>
                <w:rFonts w:eastAsia="仿宋_GB2312"/>
                <w:color w:val="FF0000"/>
                <w:kern w:val="0"/>
                <w:sz w:val="18"/>
                <w:szCs w:val="18"/>
              </w:rPr>
            </w:pPr>
            <w:r>
              <w:rPr>
                <w:rFonts w:eastAsia="仿宋_GB2312"/>
                <w:color w:val="FF0000"/>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必修</w:t>
            </w:r>
          </w:p>
        </w:tc>
        <w:tc>
          <w:tcPr>
            <w:tcW w:w="709" w:type="dxa"/>
            <w:vAlign w:val="center"/>
          </w:tcPr>
          <w:p>
            <w:pPr>
              <w:pStyle w:val="2"/>
              <w:spacing w:after="0" w:line="320" w:lineRule="exact"/>
              <w:jc w:val="center"/>
              <w:rPr>
                <w:rFonts w:eastAsia="仿宋_GB2312"/>
                <w:color w:val="FF0000"/>
                <w:kern w:val="0"/>
                <w:sz w:val="18"/>
                <w:szCs w:val="18"/>
              </w:rPr>
            </w:pPr>
            <w:r>
              <w:rPr>
                <w:rFonts w:eastAsia="仿宋_GB2312"/>
                <w:color w:val="FF0000"/>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color w:val="FF0000"/>
                <w:kern w:val="0"/>
                <w:sz w:val="18"/>
                <w:szCs w:val="18"/>
              </w:rPr>
              <w:t>专业实训</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color w:val="FF0000"/>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16</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rPr>
              <w:t>30</w:t>
            </w:r>
            <w:r>
              <w:rPr>
                <w:rFonts w:hint="eastAsia" w:ascii="仿宋_GB2312" w:hAnsi="仿宋_GB2312" w:eastAsia="仿宋_GB2312" w:cs="仿宋_GB2312"/>
                <w:kern w:val="0"/>
                <w:sz w:val="18"/>
                <w:szCs w:val="18"/>
                <w:lang w:val="en-US" w:eastAsia="zh-CN"/>
              </w:rPr>
              <w:t>+4</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pStyle w:val="2"/>
        <w:spacing w:after="0" w:line="420" w:lineRule="exact"/>
        <w:rPr>
          <w:rFonts w:ascii="仿宋_GB2312" w:hAnsi="仿宋_GB2312" w:eastAsia="仿宋_GB2312" w:cs="仿宋_GB2312"/>
          <w:sz w:val="24"/>
        </w:rPr>
      </w:pPr>
      <w:r>
        <w:rPr>
          <w:rFonts w:hint="eastAsia" w:ascii="仿宋_GB2312" w:hAnsi="仿宋_GB2312" w:eastAsia="仿宋_GB2312" w:cs="仿宋_GB2312"/>
          <w:sz w:val="24"/>
        </w:rPr>
        <w:t>备注：</w:t>
      </w:r>
    </w:p>
    <w:p>
      <w:pPr>
        <w:spacing w:line="460" w:lineRule="exact"/>
        <w:rPr>
          <w:rFonts w:hint="eastAsia" w:eastAsia="黑体"/>
          <w:bCs/>
          <w:color w:val="000000"/>
          <w:sz w:val="28"/>
          <w:szCs w:val="28"/>
        </w:rPr>
      </w:pPr>
      <w:r>
        <w:rPr>
          <w:rFonts w:hint="eastAsia" w:ascii="仿宋_GB2312" w:hAnsi="仿宋_GB2312" w:cs="仿宋_GB2312"/>
          <w:sz w:val="24"/>
          <w:lang w:val="en-US" w:eastAsia="zh-CN"/>
        </w:rPr>
        <w:t>1</w:t>
      </w:r>
      <w:r>
        <w:rPr>
          <w:rFonts w:hint="eastAsia" w:ascii="仿宋_GB2312" w:hAnsi="仿宋_GB2312" w:eastAsia="仿宋_GB2312" w:cs="仿宋_GB2312"/>
          <w:sz w:val="24"/>
        </w:rPr>
        <w:t xml:space="preserve">.《毕业实习》提前安排到寒假时段，增加4周学时，学分不变。   </w:t>
      </w:r>
    </w:p>
    <w:p>
      <w:pPr>
        <w:spacing w:line="460" w:lineRule="exact"/>
        <w:ind w:firstLine="560" w:firstLineChars="200"/>
        <w:rPr>
          <w:rFonts w:hint="eastAsia" w:eastAsia="黑体"/>
          <w:bCs/>
          <w:color w:val="000000"/>
          <w:sz w:val="28"/>
          <w:szCs w:val="28"/>
        </w:rPr>
      </w:pP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8"/>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51600110</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p>
            <w:pPr>
              <w:spacing w:line="220" w:lineRule="exact"/>
              <w:jc w:val="center"/>
              <w:rPr>
                <w:rFonts w:ascii="仿宋_GB2312" w:hAnsi="仿宋_GB2312" w:cs="仿宋_GB2312"/>
                <w:color w:val="000000"/>
                <w:sz w:val="21"/>
                <w:szCs w:val="21"/>
              </w:rPr>
            </w:pPr>
            <w:r>
              <w:rPr>
                <w:color w:val="000000"/>
                <w:kern w:val="0"/>
                <w:sz w:val="21"/>
                <w:szCs w:val="21"/>
              </w:rPr>
              <w:t>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参照《闽江学院“第二课堂成绩单”制度实施细则（202</w:t>
            </w:r>
            <w:r>
              <w:rPr>
                <w:rFonts w:hint="eastAsia" w:ascii="仿宋_GB2312" w:hAnsi="仿宋_GB2312" w:cs="仿宋_GB2312"/>
                <w:color w:val="000000"/>
                <w:sz w:val="21"/>
                <w:szCs w:val="21"/>
                <w:lang w:val="en-US" w:eastAsia="zh-CN"/>
              </w:rPr>
              <w:t>2</w:t>
            </w:r>
            <w:r>
              <w:rPr>
                <w:rFonts w:hint="eastAsia" w:ascii="仿宋_GB2312" w:hAnsi="仿宋_GB2312" w:cs="仿宋_GB2312"/>
                <w:color w:val="000000"/>
                <w:sz w:val="21"/>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51600080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51600052</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51600042</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51600032</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0.5</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51600022</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德育实践</w:t>
            </w:r>
          </w:p>
          <w:p>
            <w:pPr>
              <w:spacing w:line="220" w:lineRule="exact"/>
              <w:jc w:val="center"/>
              <w:rPr>
                <w:rFonts w:ascii="仿宋_GB2312" w:hAnsi="仿宋_GB2312" w:cs="仿宋_GB2312"/>
                <w:color w:val="000000"/>
                <w:kern w:val="0"/>
                <w:sz w:val="21"/>
                <w:szCs w:val="21"/>
              </w:rPr>
            </w:pPr>
            <w:r>
              <w:rPr>
                <w:color w:val="000000"/>
                <w:kern w:val="0"/>
                <w:sz w:val="21"/>
                <w:szCs w:val="21"/>
              </w:rPr>
              <w:t> Moral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4</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YzU2NTdjMmE5YmE1YmM3ZmVjNTA5YTYwYmQzYzQifQ=="/>
  </w:docVars>
  <w:rsids>
    <w:rsidRoot w:val="599C5BFE"/>
    <w:rsid w:val="00027519"/>
    <w:rsid w:val="00086BC4"/>
    <w:rsid w:val="007A2979"/>
    <w:rsid w:val="00B607D5"/>
    <w:rsid w:val="00DA6783"/>
    <w:rsid w:val="00E93078"/>
    <w:rsid w:val="010779AC"/>
    <w:rsid w:val="02EB239A"/>
    <w:rsid w:val="048718F6"/>
    <w:rsid w:val="04E3121C"/>
    <w:rsid w:val="04FE71B8"/>
    <w:rsid w:val="05FF6B8B"/>
    <w:rsid w:val="072D29C9"/>
    <w:rsid w:val="07C5376A"/>
    <w:rsid w:val="087F7830"/>
    <w:rsid w:val="08AD23CC"/>
    <w:rsid w:val="0A2F38BD"/>
    <w:rsid w:val="0ABD38A6"/>
    <w:rsid w:val="0B4E633E"/>
    <w:rsid w:val="0C77314D"/>
    <w:rsid w:val="0CFF5519"/>
    <w:rsid w:val="0FDF4F86"/>
    <w:rsid w:val="11673BF8"/>
    <w:rsid w:val="123D6E4E"/>
    <w:rsid w:val="13664156"/>
    <w:rsid w:val="13BB074C"/>
    <w:rsid w:val="146A680C"/>
    <w:rsid w:val="14A45B6E"/>
    <w:rsid w:val="15FD1229"/>
    <w:rsid w:val="172C79DD"/>
    <w:rsid w:val="176319BB"/>
    <w:rsid w:val="17F343BD"/>
    <w:rsid w:val="188B210B"/>
    <w:rsid w:val="1A4203B2"/>
    <w:rsid w:val="1A4A008A"/>
    <w:rsid w:val="1B386C59"/>
    <w:rsid w:val="1C8569EC"/>
    <w:rsid w:val="1DC45068"/>
    <w:rsid w:val="1E252011"/>
    <w:rsid w:val="1FE26EA3"/>
    <w:rsid w:val="1FE408B5"/>
    <w:rsid w:val="20C60D7A"/>
    <w:rsid w:val="21717942"/>
    <w:rsid w:val="22514E65"/>
    <w:rsid w:val="242238A2"/>
    <w:rsid w:val="24AA5092"/>
    <w:rsid w:val="25E818D8"/>
    <w:rsid w:val="2872433F"/>
    <w:rsid w:val="28BF0FAA"/>
    <w:rsid w:val="28D07D42"/>
    <w:rsid w:val="29196023"/>
    <w:rsid w:val="29B36ED8"/>
    <w:rsid w:val="2A470681"/>
    <w:rsid w:val="2A950D57"/>
    <w:rsid w:val="2BAB5F57"/>
    <w:rsid w:val="2D0C23EE"/>
    <w:rsid w:val="2F76751D"/>
    <w:rsid w:val="31051F4F"/>
    <w:rsid w:val="326C13C8"/>
    <w:rsid w:val="33481E29"/>
    <w:rsid w:val="33D87365"/>
    <w:rsid w:val="33F31270"/>
    <w:rsid w:val="346465D6"/>
    <w:rsid w:val="34A4057B"/>
    <w:rsid w:val="354928A8"/>
    <w:rsid w:val="360123B1"/>
    <w:rsid w:val="367B7D75"/>
    <w:rsid w:val="38976F13"/>
    <w:rsid w:val="39437E52"/>
    <w:rsid w:val="3A4401FE"/>
    <w:rsid w:val="3B031DF5"/>
    <w:rsid w:val="3B38152F"/>
    <w:rsid w:val="3C3438FD"/>
    <w:rsid w:val="3D2525BD"/>
    <w:rsid w:val="3E9C798F"/>
    <w:rsid w:val="3EAB204B"/>
    <w:rsid w:val="41746924"/>
    <w:rsid w:val="42EE4B3C"/>
    <w:rsid w:val="43555FC7"/>
    <w:rsid w:val="43E53371"/>
    <w:rsid w:val="43F8120C"/>
    <w:rsid w:val="44F1299A"/>
    <w:rsid w:val="46396A82"/>
    <w:rsid w:val="465814E3"/>
    <w:rsid w:val="46853C85"/>
    <w:rsid w:val="48DC5748"/>
    <w:rsid w:val="498C67D5"/>
    <w:rsid w:val="4A3336F0"/>
    <w:rsid w:val="4CAC6C6D"/>
    <w:rsid w:val="4D354A09"/>
    <w:rsid w:val="4F4C3BED"/>
    <w:rsid w:val="522F3228"/>
    <w:rsid w:val="52384A5B"/>
    <w:rsid w:val="52F3195C"/>
    <w:rsid w:val="53EE2842"/>
    <w:rsid w:val="563501E7"/>
    <w:rsid w:val="56572C05"/>
    <w:rsid w:val="56DB4C25"/>
    <w:rsid w:val="583628E4"/>
    <w:rsid w:val="599C5BFE"/>
    <w:rsid w:val="5A4C1BDF"/>
    <w:rsid w:val="5A7E764B"/>
    <w:rsid w:val="5F1B78C3"/>
    <w:rsid w:val="5F930E12"/>
    <w:rsid w:val="601B2F34"/>
    <w:rsid w:val="60B9161A"/>
    <w:rsid w:val="638D4CAF"/>
    <w:rsid w:val="64224369"/>
    <w:rsid w:val="652C1FEC"/>
    <w:rsid w:val="656D7047"/>
    <w:rsid w:val="6582733D"/>
    <w:rsid w:val="65A35509"/>
    <w:rsid w:val="6AD60D67"/>
    <w:rsid w:val="6B1747F7"/>
    <w:rsid w:val="6E48518E"/>
    <w:rsid w:val="6EFC46E7"/>
    <w:rsid w:val="6F140D60"/>
    <w:rsid w:val="6FBE58CA"/>
    <w:rsid w:val="72B422D2"/>
    <w:rsid w:val="73F62F39"/>
    <w:rsid w:val="747D7D6D"/>
    <w:rsid w:val="74A36C62"/>
    <w:rsid w:val="76262220"/>
    <w:rsid w:val="78BB2916"/>
    <w:rsid w:val="78E870B9"/>
    <w:rsid w:val="7CB85D3E"/>
    <w:rsid w:val="7D6E5A3A"/>
    <w:rsid w:val="7DB17B4F"/>
    <w:rsid w:val="7DE64656"/>
    <w:rsid w:val="7E49784C"/>
    <w:rsid w:val="7E79575F"/>
    <w:rsid w:val="7F05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annotation text"/>
    <w:basedOn w:val="1"/>
    <w:qFormat/>
    <w:uiPriority w:val="0"/>
    <w:pPr>
      <w:jc w:val="left"/>
    </w:pPr>
  </w:style>
  <w:style w:type="paragraph" w:styleId="4">
    <w:name w:val="List 2"/>
    <w:basedOn w:val="1"/>
    <w:qFormat/>
    <w:uiPriority w:val="0"/>
    <w:pPr>
      <w:ind w:left="100" w:leftChars="200" w:hanging="200" w:hangingChars="200"/>
    </w:pPr>
    <w:rPr>
      <w:rFonts w:eastAsia="宋体"/>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4822</Words>
  <Characters>7094</Characters>
  <Lines>42</Lines>
  <Paragraphs>11</Paragraphs>
  <TotalTime>26</TotalTime>
  <ScaleCrop>false</ScaleCrop>
  <LinksUpToDate>false</LinksUpToDate>
  <CharactersWithSpaces>7292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2022-06-14T10:31:00Z</dcterms:created>
  <dc:creator>Administrator</dc:creator>
  <cp:lastModifiedBy>yzchair</cp:lastModifiedBy>
  <cp:lastPrinted>2022-04-27T02:49:00Z</cp:lastPrinted>
  <dcterms:modified xsi:type="dcterms:W3CDTF">2022-10-23T02:54:20Z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488DD9A719114874BFFE5FF33B31435D</vt:lpwstr>
  </property>
  <property fmtid="{D5CDD505-2E9C-101B-9397-08002B2CF9AE}" pid="4" name="commondata">
    <vt:lpwstr>eyJoZGlkIjoiNGI3N2RkNTE1YmEwNjMyNzMxNjZhMmYxMmI3ZDlkY2UifQ==</vt:lpwstr>
  </property>
</Properties>
</file>