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ind w:firstLine="428" w:firstLineChars="98"/>
        <w:jc w:val="center"/>
        <w:textAlignment w:val="auto"/>
        <w:outlineLvl w:val="0"/>
        <w:rPr>
          <w:rFonts w:hint="eastAsia" w:ascii="方正小标宋简体" w:hAnsi="黑体" w:eastAsia="方正小标宋简体" w:cs="Times New Roman"/>
          <w:bCs/>
          <w:color w:val="auto"/>
          <w:sz w:val="44"/>
          <w:szCs w:val="36"/>
        </w:rPr>
      </w:pPr>
      <w:bookmarkStart w:id="0" w:name="_Toc24309"/>
      <w:bookmarkStart w:id="1" w:name="_Toc7319"/>
      <w:r>
        <w:rPr>
          <w:rFonts w:hint="eastAsia" w:ascii="方正小标宋简体" w:hAnsi="黑体" w:eastAsia="方正小标宋简体" w:cs="Times New Roman"/>
          <w:bCs/>
          <w:color w:val="auto"/>
          <w:sz w:val="44"/>
          <w:szCs w:val="36"/>
        </w:rPr>
        <w:t>2022级软件工程本科专业培养方案</w:t>
      </w:r>
      <w:bookmarkEnd w:id="0"/>
      <w:bookmarkEnd w:id="1"/>
    </w:p>
    <w:p>
      <w:pPr>
        <w:spacing w:line="520" w:lineRule="exact"/>
        <w:outlineLvl w:val="9"/>
        <w:rPr>
          <w:rFonts w:ascii="仿宋_GB2312"/>
          <w:b/>
          <w:bCs/>
          <w:color w:val="auto"/>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9"/>
        <w:gridCol w:w="4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专业名称：软件工程</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专业代码：080902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所属学科门类：工学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授予学位：工学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学制：四年</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所属学院：</w:t>
            </w:r>
            <w:r>
              <w:rPr>
                <w:rFonts w:hint="eastAsia" w:ascii="仿宋_GB2312"/>
                <w:b/>
                <w:bCs/>
                <w:color w:val="auto"/>
                <w:sz w:val="20"/>
                <w:szCs w:val="20"/>
              </w:rPr>
              <w:t>数学与数据科学学院（软件学院）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毕业最低总学分：169.5学分</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总学时：2330学时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专业负责人：余兆钗</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学院负责人：林文如</w:t>
            </w:r>
          </w:p>
        </w:tc>
      </w:tr>
    </w:tbl>
    <w:p>
      <w:pPr>
        <w:pStyle w:val="3"/>
        <w:spacing w:line="460" w:lineRule="exact"/>
        <w:ind w:left="98" w:leftChars="0" w:firstLine="406" w:firstLineChars="0"/>
        <w:outlineLvl w:val="9"/>
        <w:rPr>
          <w:rFonts w:ascii="仿宋_GB2312" w:hAnsi="宋体" w:eastAsia="仿宋_GB2312"/>
          <w:color w:val="auto"/>
          <w:sz w:val="28"/>
          <w:szCs w:val="28"/>
        </w:rPr>
      </w:pPr>
    </w:p>
    <w:p>
      <w:pPr>
        <w:pStyle w:val="3"/>
        <w:spacing w:line="460" w:lineRule="exact"/>
        <w:ind w:left="98" w:leftChars="0" w:firstLine="406" w:firstLineChars="0"/>
        <w:outlineLvl w:val="9"/>
        <w:rPr>
          <w:rFonts w:ascii="仿宋_GB2312" w:hAnsi="宋体" w:eastAsia="仿宋_GB2312"/>
          <w:color w:val="auto"/>
          <w:sz w:val="28"/>
          <w:szCs w:val="28"/>
        </w:rPr>
      </w:pPr>
    </w:p>
    <w:p>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552" w:firstLineChars="200"/>
        <w:textAlignment w:val="auto"/>
        <w:rPr>
          <w:rFonts w:ascii="黑体" w:hAnsi="宋体" w:eastAsia="黑体"/>
          <w:bCs/>
          <w:sz w:val="28"/>
          <w:szCs w:val="28"/>
        </w:rPr>
      </w:pPr>
      <w:r>
        <w:rPr>
          <w:rFonts w:hint="eastAsia" w:ascii="黑体" w:hAnsi="宋体" w:eastAsia="黑体"/>
          <w:bCs/>
          <w:sz w:val="28"/>
          <w:szCs w:val="28"/>
        </w:rPr>
        <w:t>一、培养目标</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hint="eastAsia" w:ascii="仿宋_GB2312"/>
          <w:bCs/>
          <w:sz w:val="28"/>
          <w:szCs w:val="28"/>
        </w:rPr>
      </w:pPr>
      <w:r>
        <w:rPr>
          <w:rFonts w:hint="eastAsia" w:ascii="仿宋_GB2312"/>
          <w:bCs/>
          <w:sz w:val="28"/>
          <w:szCs w:val="28"/>
          <w:lang w:val="en-US" w:eastAsia="zh-CN"/>
        </w:rPr>
        <w:t>本专业以国民新经济发展对软件人才的需要为导向，培养</w:t>
      </w:r>
      <w:r>
        <w:rPr>
          <w:rFonts w:hint="eastAsia" w:ascii="仿宋_GB2312"/>
          <w:bCs/>
          <w:color w:val="0000FF"/>
          <w:sz w:val="28"/>
          <w:szCs w:val="28"/>
          <w:lang w:val="en-US" w:eastAsia="zh-CN"/>
        </w:rPr>
        <w:t>德、智、体、美、劳全面发展</w:t>
      </w:r>
      <w:r>
        <w:rPr>
          <w:rFonts w:hint="eastAsia" w:ascii="仿宋_GB2312"/>
          <w:bCs/>
          <w:sz w:val="28"/>
          <w:szCs w:val="28"/>
          <w:lang w:val="en-US" w:eastAsia="zh-CN"/>
        </w:rPr>
        <w:t>，践行社会主义核心价值观，具有良好的职业道德、人文素养和社会责任感；掌握数学、自然</w:t>
      </w:r>
      <w:bookmarkStart w:id="2" w:name="_GoBack"/>
      <w:bookmarkEnd w:id="2"/>
      <w:r>
        <w:rPr>
          <w:rFonts w:hint="eastAsia" w:ascii="仿宋_GB2312"/>
          <w:bCs/>
          <w:sz w:val="28"/>
          <w:szCs w:val="28"/>
          <w:lang w:val="en-US" w:eastAsia="zh-CN"/>
        </w:rPr>
        <w:t>科学的基础知识，掌握计算系统与软件工程的基本理论、基本知识，了解和紧跟软件技术发展；能够灵活运用互联网与信息技术手段，进行中英文文献及开源解决方案的检索与获取并形成自己观点的能力；具有计算思维能力</w:t>
      </w:r>
      <w:r>
        <w:rPr>
          <w:rFonts w:hint="eastAsia" w:ascii="仿宋_GB2312"/>
          <w:bCs/>
          <w:color w:val="FF0000"/>
          <w:sz w:val="28"/>
          <w:szCs w:val="28"/>
          <w:lang w:val="en-US" w:eastAsia="zh-CN"/>
        </w:rPr>
        <w:t>、</w:t>
      </w:r>
      <w:r>
        <w:rPr>
          <w:rFonts w:hint="eastAsia" w:ascii="仿宋_GB2312"/>
          <w:bCs/>
          <w:sz w:val="28"/>
          <w:szCs w:val="28"/>
          <w:lang w:val="en-US" w:eastAsia="zh-CN"/>
        </w:rPr>
        <w:t>良好的沟通和团队协作能力</w:t>
      </w:r>
      <w:r>
        <w:rPr>
          <w:rFonts w:hint="eastAsia" w:ascii="仿宋_GB2312"/>
          <w:bCs/>
          <w:color w:val="FF0000"/>
          <w:sz w:val="28"/>
          <w:szCs w:val="28"/>
          <w:lang w:val="en-US" w:eastAsia="zh-CN"/>
        </w:rPr>
        <w:t>、</w:t>
      </w:r>
      <w:r>
        <w:rPr>
          <w:rFonts w:hint="eastAsia" w:ascii="仿宋_GB2312"/>
          <w:bCs/>
          <w:sz w:val="28"/>
          <w:szCs w:val="28"/>
          <w:lang w:val="en-US" w:eastAsia="zh-CN"/>
        </w:rPr>
        <w:t>较强的工程实践能力和软件系统开发管理能力</w:t>
      </w:r>
      <w:r>
        <w:rPr>
          <w:rFonts w:hint="eastAsia" w:ascii="仿宋_GB2312"/>
          <w:bCs/>
          <w:color w:val="0000FF"/>
          <w:sz w:val="28"/>
          <w:szCs w:val="28"/>
          <w:lang w:val="en-US" w:eastAsia="zh-CN"/>
        </w:rPr>
        <w:t>；能够综合运用先进的软件工程方法、技术和工具解决复杂软件工程问题，构造复杂软件系统</w:t>
      </w:r>
      <w:r>
        <w:rPr>
          <w:rFonts w:hint="eastAsia" w:ascii="仿宋_GB2312"/>
          <w:bCs/>
          <w:sz w:val="28"/>
          <w:szCs w:val="28"/>
          <w:lang w:val="en-US" w:eastAsia="zh-CN"/>
        </w:rPr>
        <w:t>；能够在IT企业、各行各业的信息化部门从事复杂软件系统的分析、设计、开发、测试、部署和运维等工作，且具有终身学校能力、创新精神和国际视野的工程型、应用型高级专门人才。</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hint="eastAsia" w:ascii="仿宋_GB2312"/>
          <w:bCs/>
          <w:sz w:val="28"/>
          <w:szCs w:val="28"/>
        </w:rPr>
      </w:pPr>
      <w:r>
        <w:rPr>
          <w:rFonts w:hint="eastAsia" w:ascii="仿宋_GB2312"/>
          <w:bCs/>
          <w:sz w:val="28"/>
          <w:szCs w:val="28"/>
          <w:lang w:val="en-US" w:eastAsia="zh-CN"/>
        </w:rPr>
        <w:t>本专业对所培养的学生在毕业五年左右预期</w:t>
      </w:r>
      <w:r>
        <w:rPr>
          <w:rFonts w:hint="eastAsia" w:ascii="仿宋_GB2312"/>
          <w:bCs/>
          <w:color w:val="0000FF"/>
          <w:sz w:val="28"/>
          <w:szCs w:val="28"/>
          <w:lang w:val="en-US" w:eastAsia="zh-CN"/>
        </w:rPr>
        <w:t>目标可具体为以下5个方面</w:t>
      </w:r>
      <w:r>
        <w:rPr>
          <w:rFonts w:hint="eastAsia" w:ascii="仿宋_GB2312"/>
          <w:bCs/>
          <w:sz w:val="28"/>
          <w:szCs w:val="28"/>
          <w:lang w:val="en-US" w:eastAsia="zh-CN"/>
        </w:rPr>
        <w:t>：</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ascii="仿宋_GB2312"/>
          <w:bCs/>
          <w:sz w:val="28"/>
          <w:szCs w:val="28"/>
        </w:rPr>
      </w:pPr>
      <w:r>
        <w:rPr>
          <w:rFonts w:hint="eastAsia" w:ascii="仿宋_GB2312"/>
          <w:bCs/>
          <w:sz w:val="28"/>
          <w:szCs w:val="28"/>
        </w:rPr>
        <w:t>目标1：专业技能</w:t>
      </w:r>
      <w:r>
        <w:rPr>
          <w:rFonts w:hint="eastAsia" w:ascii="仿宋_GB2312"/>
          <w:bCs/>
          <w:color w:val="0112F1"/>
          <w:sz w:val="28"/>
          <w:szCs w:val="28"/>
          <w:lang w:eastAsia="zh-CN"/>
        </w:rPr>
        <w:t>——</w:t>
      </w:r>
      <w:r>
        <w:rPr>
          <w:rFonts w:hint="eastAsia" w:ascii="仿宋_GB2312"/>
          <w:bCs/>
          <w:sz w:val="28"/>
          <w:szCs w:val="28"/>
        </w:rPr>
        <w:t>能够综合运用数学、自然科学、人文社科以及计算机与软件工程的知识，结合社会、文化、法律、环境和可持续发展等多种非技术因素，灵活运用现代计算机与软件工具，具有创新精神和技术探究意识，能够解决软件工程领域的复杂工程问题，能够完成复杂软件系统的分析与设计、程序开发、软件测试、系统部署及运维等工作。</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ascii="仿宋_GB2312"/>
          <w:bCs/>
          <w:sz w:val="28"/>
          <w:szCs w:val="28"/>
        </w:rPr>
      </w:pPr>
      <w:r>
        <w:rPr>
          <w:rFonts w:hint="eastAsia" w:ascii="仿宋_GB2312"/>
          <w:bCs/>
          <w:sz w:val="28"/>
          <w:szCs w:val="28"/>
        </w:rPr>
        <w:t>目标2：职业素质</w:t>
      </w:r>
      <w:r>
        <w:rPr>
          <w:rFonts w:hint="eastAsia" w:ascii="仿宋_GB2312"/>
          <w:bCs/>
          <w:color w:val="0112F1"/>
          <w:sz w:val="28"/>
          <w:szCs w:val="28"/>
          <w:lang w:eastAsia="zh-CN"/>
        </w:rPr>
        <w:t>——</w:t>
      </w:r>
      <w:r>
        <w:rPr>
          <w:rFonts w:hint="eastAsia" w:ascii="仿宋_GB2312"/>
          <w:bCs/>
          <w:sz w:val="28"/>
          <w:szCs w:val="28"/>
        </w:rPr>
        <w:t>具有良好的职业道德及社会责任感，在工作中理解并遵守职业规范，在工程实践中能坚持公众利益优先，热爱社会主义祖国。</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ascii="仿宋_GB2312"/>
          <w:bCs/>
          <w:sz w:val="28"/>
          <w:szCs w:val="28"/>
        </w:rPr>
      </w:pPr>
      <w:r>
        <w:rPr>
          <w:rFonts w:hint="eastAsia" w:ascii="仿宋_GB2312"/>
          <w:bCs/>
          <w:sz w:val="28"/>
          <w:szCs w:val="28"/>
        </w:rPr>
        <w:t>目标3：团队与管理能力</w:t>
      </w:r>
      <w:r>
        <w:rPr>
          <w:rFonts w:hint="eastAsia" w:ascii="仿宋_GB2312"/>
          <w:bCs/>
          <w:color w:val="0112F1"/>
          <w:sz w:val="28"/>
          <w:szCs w:val="28"/>
          <w:lang w:eastAsia="zh-CN"/>
        </w:rPr>
        <w:t>——</w:t>
      </w:r>
      <w:r>
        <w:rPr>
          <w:rFonts w:hint="eastAsia" w:ascii="仿宋_GB2312"/>
          <w:bCs/>
          <w:sz w:val="28"/>
          <w:szCs w:val="28"/>
        </w:rPr>
        <w:t>具有良好的沟通和团队协作能力，能够在跨文化背景下就复杂软件工程问题与团队成员、同行及用户进行有效沟通和交流。</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ascii="仿宋_GB2312"/>
          <w:bCs/>
          <w:sz w:val="28"/>
          <w:szCs w:val="28"/>
        </w:rPr>
      </w:pPr>
      <w:r>
        <w:rPr>
          <w:rFonts w:hint="eastAsia" w:ascii="仿宋_GB2312"/>
          <w:bCs/>
          <w:sz w:val="28"/>
          <w:szCs w:val="28"/>
        </w:rPr>
        <w:t>目标4：职业发展</w:t>
      </w:r>
      <w:r>
        <w:rPr>
          <w:rFonts w:hint="eastAsia" w:ascii="仿宋_GB2312"/>
          <w:bCs/>
          <w:color w:val="0112F1"/>
          <w:sz w:val="28"/>
          <w:szCs w:val="28"/>
          <w:lang w:eastAsia="zh-CN"/>
        </w:rPr>
        <w:t>——</w:t>
      </w:r>
      <w:r>
        <w:rPr>
          <w:rFonts w:hint="eastAsia" w:ascii="仿宋_GB2312"/>
          <w:bCs/>
          <w:sz w:val="28"/>
          <w:szCs w:val="28"/>
        </w:rPr>
        <w:t>具有软件系统开发管理能力，能够在软件工程及相关交叉学科背景下的团队中承担负责人的角色，运用项目管理方法和工具，组织软件工程项目的实施。</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ascii="仿宋_GB2312"/>
          <w:bCs/>
          <w:sz w:val="28"/>
          <w:szCs w:val="28"/>
        </w:rPr>
      </w:pPr>
      <w:r>
        <w:rPr>
          <w:rFonts w:hint="eastAsia" w:ascii="仿宋_GB2312"/>
          <w:bCs/>
          <w:sz w:val="28"/>
          <w:szCs w:val="28"/>
        </w:rPr>
        <w:t>目标5：国际视野与终身学习</w:t>
      </w:r>
      <w:r>
        <w:rPr>
          <w:rFonts w:hint="eastAsia" w:ascii="仿宋_GB2312"/>
          <w:bCs/>
          <w:color w:val="0112F1"/>
          <w:sz w:val="28"/>
          <w:szCs w:val="28"/>
          <w:lang w:eastAsia="zh-CN"/>
        </w:rPr>
        <w:t>——</w:t>
      </w:r>
      <w:r>
        <w:rPr>
          <w:rFonts w:hint="eastAsia" w:ascii="仿宋_GB2312"/>
          <w:bCs/>
          <w:sz w:val="28"/>
          <w:szCs w:val="28"/>
        </w:rPr>
        <w:t>具有国际视野和终身学习能力, 对软件工程领域的前沿技术有深入了解，能够掌握国内外最新技术，并对行业技术发展趋势有前瞻性。</w:t>
      </w:r>
    </w:p>
    <w:p>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552" w:firstLineChars="200"/>
        <w:textAlignment w:val="auto"/>
        <w:rPr>
          <w:rFonts w:ascii="黑体" w:hAnsi="黑体" w:eastAsia="黑体" w:cs="仿宋_GB2312"/>
          <w:sz w:val="28"/>
          <w:szCs w:val="28"/>
        </w:rPr>
      </w:pPr>
      <w:r>
        <w:rPr>
          <w:rFonts w:hint="eastAsia" w:ascii="黑体" w:hAnsi="黑体" w:eastAsia="黑体" w:cs="仿宋_GB2312"/>
          <w:sz w:val="28"/>
          <w:szCs w:val="28"/>
        </w:rPr>
        <w:t>二、毕业要求</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hint="eastAsia" w:ascii="仿宋_GB2312"/>
          <w:bCs/>
          <w:sz w:val="28"/>
          <w:szCs w:val="28"/>
        </w:rPr>
      </w:pPr>
      <w:r>
        <w:rPr>
          <w:rFonts w:hint="eastAsia" w:ascii="仿宋_GB2312"/>
          <w:bCs/>
          <w:sz w:val="28"/>
          <w:szCs w:val="28"/>
          <w:lang w:val="en-US" w:eastAsia="zh-CN"/>
        </w:rPr>
        <w:t xml:space="preserve">根据工程教育认证毕业要求框架，结合本专业培养目标，通过对毕业要求12 条的每一个毕业要求指标点进行分解，本专业学生在经过四年的系统学习后，应能达到以下12 条毕业要求： </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552" w:firstLineChars="200"/>
        <w:textAlignment w:val="auto"/>
        <w:rPr>
          <w:rFonts w:ascii="仿宋_GB2312" w:hAnsi="仿宋_GB2312" w:eastAsia="仿宋_GB2312" w:cs="仿宋_GB2312"/>
          <w:sz w:val="28"/>
          <w:szCs w:val="28"/>
        </w:rPr>
      </w:pPr>
      <w:r>
        <w:rPr>
          <w:rFonts w:hint="eastAsia" w:ascii="仿宋_GB2312"/>
          <w:bCs/>
          <w:sz w:val="28"/>
          <w:szCs w:val="28"/>
        </w:rPr>
        <w:t>通过专业学</w:t>
      </w:r>
      <w:r>
        <w:rPr>
          <w:rFonts w:hint="eastAsia" w:ascii="仿宋_GB2312" w:hAnsi="仿宋_GB2312" w:eastAsia="仿宋_GB2312" w:cs="仿宋_GB2312"/>
          <w:sz w:val="28"/>
          <w:szCs w:val="28"/>
        </w:rPr>
        <w:t xml:space="preserve">习，毕业生应获得以下几个方面的知识、能力和素质: </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1.工程知识：能够将数学、自然科学、计算机科学及软件工程知识，用于解决计算模型建立与求解、软件系统推演与分析、软件解决方案设计与综合等复杂工程问题。</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1.1.掌握高等数学、线性代数等常用数学知识，能将数学的基本概念运用到软件工程问题表述中，并建立相应的数学模型。</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1.2.掌握自然科学基本知识，能并能运用自然科学基本知识分析工程领域复杂问题。</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1.3.掌握工程基础和计算机基本理论及软硬件的专业基本知识，应用于解决复杂软件工程问题。</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1.4.能将软件工程方法与技术及相关数学模型方法，应用于软件架构、软件复用、算法效率、软件可维护性等复杂软件工程问题解决方案的表述、比较和综合。</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2.问题分析：能够应用数学、自然科学、计算机科学原理及软件工程方法与技术，正确表述软件工程应用领域的复杂工程问题，探究多种软件系统解决方案，并获得一个经济有效的解决方案。</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2.1.能够运用所学的数学、自然科学等相关科学原理，识别和判断复杂工程问题中的算法策略、资源配置、统计分析等关键环节。</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2.2.能够运用计算机科学原理及软件工程专业知识，正确表达和分析复杂工程问题。</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2.3.能够认识现实世界软件系统中的复杂工程问题，灵活运用互联网与信息技术手段进行文献检索、资料查询、信息获取，对利益相关者开展调研，分析设计多种可供选择的方案，并能够通过分析比较选择合理的解决方案。</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2.3.具备认识并评估软件复杂工程问题的多种解决方案的能力。</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2.4.能够建立软件需求规格说明，具备分析复杂软件系统的约束，论证经济与时间可行性的能力，并获得经济有效的解决方案。</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3.设计/开发解决方案：能够针对软件系统需求规格说明的要求，设计软件系统的解决方案，构造软件系统，并能够在工程实践过程中体现创新意识，考虑社会、健康、安全、法律、文化以及环境等因素。</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3.1.掌握软件设计流程、软件设计方法及建模技术，能够在设计过程中考虑影响设计目标和技术方案的各种因素，包括利益相关者的健康与安全，效率与效益，以及法律、文化以及环境等，给出合理有效的技术路线和开发方案，完成复杂软件系统的体系结构设计和详细设计。</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3.2.能够按照软件构造标准和软件配置管理的要求，构造可用的、可维护的复杂软件组件及系统。</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3.3.能够在复杂工程实践过程中表现出创新的意向、愿望和设想，并付诸实践。</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4.研究：能够基于计算机科学原理、软件工程技术文档和软件源代码，对复杂软件系统解决方案进行研究，得到关于软件系统解决方案有效性和质量的结论。</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4.1.能够基于计算机科学原理，通过阅读软件工程技术文档和软件源代码，以及软件利益相关者调研，分析复杂软件系统的解决方案。</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4.2.根据复杂软件系统的特征和研究目标选择研究路线，设计实验方案。</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4.3.能够根据实验方案构建实验系统，安全地开展实验，正确地采集实验数据。</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4.4.能对实验结果进行分析和解释，并通过信息综合得到关于复杂软件系统解决方案有效性和质量的结论。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5.使用现代工具：能够针对复杂软件工程问题，选择、使用或开发恰当的计算机与软件工具，以及运用其它技术或资源，进行软件系统的分析、设计、开发、测试，提高软件工程实践的效率，并能够理解其局限性。</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5.1.能够在问题分析、设计解决方案的过程中，针对具体问题，开发或选择、运用相关现代工具进行复杂软件系统的分析与设计，并能够分析其局限性。</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5.2.能够在开发解决方案和研究的过程中，针对具体问题，开发或选择、运用相关现代工具进行复杂软件系统的开发与测试；能够针对开发的复杂软件系统或组件，模拟和预测其是否满足规定的功能、性能等技术指标，并能够分析其局限性。</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6.工程与社会：能够基于工程相关背景知识进行合理分析，评价软件工程解决方案和工程实践对社会、健康、安全、法律以及文化的影响，并理解应承担的责任。</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6.1.了解工程相关领域的技术标准、知识产权、产业政策和法律法规，理解不同社会文化对复杂工程实践活动的影响。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6.2.能分析和评价复杂软件工程实践对利益相关者的健康与安全、效率与效益，以及对文化、法律的影响，以及这些制约因素对复杂软件工程项目实施的影响，并理解应承担的责任。</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7.环境和可持续发展：能够在软件工程实践的过程中理解和评价其对环境和可持续发展的影响。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7.1.知晓和理解环境保护和可持续发展的理念和内涵，以及复杂工程实践对环境保护和可持续发展的影响。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7.2.能够从环境保护和可持续发展的角度思考复杂软件工程实践的可持续性，评价复杂软件系统在其生命周期中可能对人类和环境造成的损害和隐患。</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8.职业规范：具有人文社会科学素养、社会责任感，能够在工程实践中理解并遵守工程职业道德和规范，履行责任。</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8.1.拥有健康的体魄、积极的人生态度和生活方式，以及良好的心理调适能力。</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8.2.具有社会主义核心价值观，理解个人与社会的关系，了解中国国情，坚持以爱国主义为核心的民族精神和以改革创新为核心的时代精神。</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8.3.能够在工程实践过程中自觉遵守软件工程师的职业道德与规范，包括：诚实公正、诚信守则、严谨敬业、正直负责、工匠精神等。</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8.4.理解软件工程师对公众的安全、健康和福祉以及环境保护的社会责任，能够在软件工程实践中自觉履行责任。</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9.个人和团队：能够在多学科产业背景下的团队中承担个体、团队成员以及负责人的角色。</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9.1.具有团队意识和分享态度，能与其他学科的成员有效沟通，合作共事。</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9.2.能够在团队中独立或合作开展工作，按时交付工作成果。</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9.3.能够组织、协调和指挥团队开展工作，完成项目目标。</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10.沟通：能够就复杂软件工程问题与业界同行及社会公众进行有效沟通和交流，并具备一定的国际视野，能够在跨文化背景下进行沟通和交流。</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10.1.能够就复杂专业问题，以口头、文稿等方式，准确表达自己的观点，回应质疑，理解与业界同行和社会公众交流的差异性。</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10.2.能够比较熟练地用外语进行听说读写, 理解和尊重世界不同文化的差异性和多样性，具备跨文化交流及书面表达能力。</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10.3.了解软件工程专业领域的国际发展趋势、研究热点，能就专业领域中的复杂问题，在跨文化背景下进行基本的沟通和交流。</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11.项目管理：能在多学科环境中应用工程项目管理原理与经济决策方法，保证软件项目目标的实现。</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11.1.了解软件生命周期要素、软件过程模型以及软件项目的成本构成，理解其中涉及的工程管理与经济决策问题，掌握任务管理、进度管理、成本管理等工程管理方法，以及经济决策方法。</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11.2.能在多学科环境中运用工程管理与经济决策方法，确保复杂软件系统可以在规定的时间和成本内完成，并满足规定的功能、性能等技术指标要求。</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sz w:val="28"/>
          <w:szCs w:val="28"/>
        </w:rPr>
      </w:pPr>
      <w:r>
        <w:rPr>
          <w:rFonts w:hint="eastAsia"/>
          <w:sz w:val="28"/>
          <w:szCs w:val="28"/>
        </w:rPr>
        <w:t>12.终身学习：具有自主学习和终身学习的意识，有不断</w:t>
      </w:r>
      <w:r>
        <w:rPr>
          <w:rFonts w:hint="eastAsia"/>
          <w:sz w:val="28"/>
          <w:szCs w:val="28"/>
          <w:lang w:eastAsia="zh-CN"/>
        </w:rPr>
        <w:t>学习和</w:t>
      </w:r>
      <w:r>
        <w:rPr>
          <w:rFonts w:hint="eastAsia"/>
          <w:sz w:val="28"/>
          <w:szCs w:val="28"/>
        </w:rPr>
        <w:t>适应发展的能力。</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12.1.能在社会发展的大背景下，认识到自主和终身学习的必要性，具有更新知识和自我完善的学习欲望，在软件工程实践中不断追求进步。</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52" w:firstLineChars="200"/>
        <w:textAlignment w:val="auto"/>
        <w:rPr>
          <w:rFonts w:ascii="华文仿宋" w:hAnsi="华文仿宋" w:eastAsia="华文仿宋"/>
          <w:sz w:val="28"/>
          <w:szCs w:val="28"/>
        </w:rPr>
      </w:pPr>
      <w:r>
        <w:rPr>
          <w:rFonts w:hint="eastAsia" w:ascii="华文仿宋" w:hAnsi="华文仿宋" w:eastAsia="华文仿宋"/>
          <w:sz w:val="28"/>
          <w:szCs w:val="28"/>
        </w:rPr>
        <w:t>12.2.具有自主学习的能力，能够在软件工程实践中发现并提出问题，能够理解并运用新技术，能够归纳总结工程实践经验，能够持续提高并完善自身的专业能力。</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6"/>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9"/>
        <w:gridCol w:w="1559"/>
        <w:gridCol w:w="1559"/>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毕业要求9</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毕业要求10</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毕业要求11</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毕业要求12</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hint="eastAsia" w:ascii="仿宋_GB2312" w:hAnsi="宋体" w:cs="Arial"/>
          <w:b/>
          <w:kern w:val="0"/>
          <w:sz w:val="28"/>
          <w:szCs w:val="28"/>
          <w:shd w:val="clear" w:color="auto" w:fill="FFFFFF"/>
        </w:rPr>
      </w:pPr>
    </w:p>
    <w:p>
      <w:pPr>
        <w:jc w:val="center"/>
        <w:rPr>
          <w:rFonts w:hint="eastAsia" w:ascii="仿宋_GB2312" w:hAnsi="宋体" w:cs="Arial"/>
          <w:b/>
          <w:kern w:val="0"/>
          <w:sz w:val="28"/>
          <w:szCs w:val="28"/>
          <w:shd w:val="clear" w:color="auto" w:fill="FFFFFF"/>
        </w:rPr>
      </w:pPr>
    </w:p>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6"/>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649"/>
        <w:gridCol w:w="649"/>
        <w:gridCol w:w="649"/>
        <w:gridCol w:w="649"/>
        <w:gridCol w:w="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7796" w:type="dxa"/>
            <w:gridSpan w:val="12"/>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9</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10</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概率统计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高等数学A1</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高等数学A2</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线性代数</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大学物理C</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大学物理实验C</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大学生职业生涯规划</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创新思维</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创业实践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思想道德与法治</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军事理论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习近平新时代中国特色社会主义思想概论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大学生心理健康</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数字逻辑与计算机组成原理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专业导论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数据通信与计算机网络</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操作系统</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数据结构与算法</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面向对象程序设计（Java）</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高级语言程序设计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软件项目管理与团队建设</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Java开发进阶</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Web技术基础</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软件质量保证与测试</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软件工程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数据库原理及应用</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面向对象分析与设计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Linux系统应用及服务器配置</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编译原理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 EE企业级开发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前端全栈开发技术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三维建模与造型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UV贴图技术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Unreal engine虚拟现实开发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面向对象程序设计（C++）</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信息安全技术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神经网络与深度学习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移动应用开发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算法分析与设计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软件体系结构</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数据仓库与数据挖掘</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大数据分析与开发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大数据平台技术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用户界面设计与评测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python互联网数据获取</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工程经济学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计算机专业英语</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技术认证课程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设计模式</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大型数据库(ORACLE)</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企业实训（互联网应用开发）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工程化项目训练（互联网应用开发）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C语言项目训练</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专业认知实习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军事技能</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bl>
    <w:p>
      <w:pPr>
        <w:pStyle w:val="3"/>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decimal"/>
          <w:cols w:space="720" w:num="1"/>
          <w:docGrid w:type="linesAndChars" w:linePitch="579" w:charSpace="-849"/>
        </w:sectPr>
      </w:pP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3"/>
        <w:spacing w:line="460" w:lineRule="exact"/>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主干学科：</w:t>
      </w:r>
      <w:r>
        <w:rPr>
          <w:rFonts w:hint="eastAsia" w:ascii="仿宋_GB2312" w:hAnsi="仿宋_GB2312" w:eastAsia="仿宋_GB2312" w:cs="仿宋_GB2312"/>
          <w:sz w:val="28"/>
          <w:szCs w:val="28"/>
          <w:lang w:val="en-US" w:eastAsia="zh-CN"/>
        </w:rPr>
        <w:t>软件工程</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操作系统、数据通信与计算机网络、面向对象程序设计（Java）、数据结构与算法、高级语言程序设计、Java开发进阶、软件项目管理与团队建设、面向对象分析与设计、数据库原理及应用、Web技术基础、Linux系统应用及服务器配置、软件质量保证与测试、软件工程</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军事技能、C语言项目训练、专业认知实习、数据结构课程设计、数据库课程设计、毛泽东思想和中国特色社会主义理论体系概论实践、工程化项目训练（互联网应用开发）、企业实训（互联网应用开发）、毕业论文（设计）、毕业实习</w:t>
      </w:r>
      <w:r>
        <w:rPr>
          <w:rFonts w:hint="eastAsia" w:ascii="仿宋_GB2312" w:eastAsia="仿宋_GB2312"/>
          <w:color w:val="auto"/>
          <w:sz w:val="28"/>
          <w:szCs w:val="28"/>
          <w:lang w:eastAsia="zh-CN"/>
        </w:rPr>
        <w:t>、第二课堂教育教学</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高级语言程序设计、面向对象程序设计（Java）、数据结构课程设计、数据库课程设计、数据库原理及应用、Java开发进阶、Web技术基础、软件工程、操作系统、面向对象分析与设计、前端全栈开发技术、三维建模与造型、数据通信与计算机网络、Linux系统应用及服务器配置、软件项目管理与团队建设、软件质量保证与测试</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32.</w:t>
            </w:r>
            <w:r>
              <w:rPr>
                <w:rFonts w:hint="eastAsia" w:ascii="仿宋_GB2312" w:hAnsi="仿宋_GB2312" w:eastAsia="仿宋_GB2312" w:cs="仿宋_GB2312"/>
                <w:szCs w:val="21"/>
                <w:lang w:val="en-US" w:eastAsia="zh-CN"/>
              </w:rPr>
              <w:t>45</w:t>
            </w:r>
            <w:r>
              <w:rPr>
                <w:rFonts w:hint="eastAsia" w:ascii="仿宋_GB2312" w:hAnsi="仿宋_GB2312" w:eastAsia="仿宋_GB2312" w:cs="仿宋_GB2312"/>
                <w:szCs w:val="21"/>
              </w:rPr>
              <w:t>%</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946.0</w:t>
            </w:r>
          </w:p>
        </w:tc>
        <w:tc>
          <w:tcPr>
            <w:tcW w:w="1748"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default" w:ascii="仿宋_GB2312" w:hAnsi="宋体" w:eastAsia="仿宋_GB2312" w:cs="仿宋_GB2312"/>
                <w:i w:val="0"/>
                <w:iCs w:val="0"/>
                <w:color w:val="000000"/>
                <w:kern w:val="0"/>
                <w:sz w:val="21"/>
                <w:szCs w:val="21"/>
                <w:u w:val="none"/>
                <w:lang w:val="en-US" w:eastAsia="zh-CN" w:bidi="ar"/>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17.5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10.32%</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280.0</w:t>
            </w:r>
          </w:p>
        </w:tc>
        <w:tc>
          <w:tcPr>
            <w:tcW w:w="1748"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default" w:ascii="仿宋_GB2312" w:hAnsi="宋体" w:eastAsia="仿宋_GB2312" w:cs="仿宋_GB2312"/>
                <w:i w:val="0"/>
                <w:iCs w:val="0"/>
                <w:color w:val="000000"/>
                <w:kern w:val="0"/>
                <w:sz w:val="21"/>
                <w:szCs w:val="21"/>
                <w:u w:val="none"/>
                <w:lang w:val="en-US" w:eastAsia="zh-CN" w:bidi="ar"/>
              </w:rPr>
              <w:t>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6.78%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184.0</w:t>
            </w:r>
          </w:p>
        </w:tc>
        <w:tc>
          <w:tcPr>
            <w:tcW w:w="1748"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default" w:ascii="仿宋_GB2312" w:hAnsi="宋体" w:eastAsia="仿宋_GB2312" w:cs="仿宋_GB2312"/>
                <w:i w:val="0"/>
                <w:iCs w:val="0"/>
                <w:color w:val="000000"/>
                <w:kern w:val="0"/>
                <w:sz w:val="21"/>
                <w:szCs w:val="21"/>
                <w:u w:val="none"/>
                <w:lang w:val="en-US" w:eastAsia="zh-CN" w:bidi="ar"/>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3.54%</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90.0</w:t>
            </w:r>
          </w:p>
        </w:tc>
        <w:tc>
          <w:tcPr>
            <w:tcW w:w="1748"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default" w:ascii="仿宋_GB2312" w:hAnsi="宋体" w:eastAsia="仿宋_GB2312" w:cs="仿宋_GB2312"/>
                <w:i w:val="0"/>
                <w:iCs w:val="0"/>
                <w:color w:val="000000"/>
                <w:kern w:val="0"/>
                <w:sz w:val="21"/>
                <w:szCs w:val="21"/>
                <w:u w:val="none"/>
                <w:lang w:val="en-US" w:eastAsia="zh-CN" w:bidi="ar"/>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60</w:t>
            </w:r>
            <w:r>
              <w:rPr>
                <w:rFonts w:hint="eastAsia" w:ascii="仿宋_GB2312" w:hAnsi="仿宋_GB2312" w:eastAsia="仿宋_GB2312" w:cs="仿宋_GB2312"/>
                <w:szCs w:val="21"/>
              </w:rPr>
              <w:t>%</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 xml:space="preserve">152 </w:t>
            </w:r>
          </w:p>
        </w:tc>
        <w:tc>
          <w:tcPr>
            <w:tcW w:w="1748"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default" w:ascii="仿宋_GB2312" w:hAnsi="宋体" w:eastAsia="仿宋_GB2312" w:cs="仿宋_GB2312"/>
                <w:i w:val="0"/>
                <w:iCs w:val="0"/>
                <w:color w:val="000000"/>
                <w:kern w:val="0"/>
                <w:sz w:val="21"/>
                <w:szCs w:val="21"/>
                <w:u w:val="none"/>
                <w:lang w:val="en-US" w:eastAsia="zh-CN" w:bidi="ar"/>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99.5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70</w:t>
            </w:r>
            <w:r>
              <w:rPr>
                <w:rFonts w:hint="eastAsia" w:ascii="仿宋_GB2312" w:hAnsi="仿宋_GB2312" w:eastAsia="仿宋_GB2312" w:cs="仿宋_GB2312"/>
                <w:szCs w:val="21"/>
              </w:rPr>
              <w:t>%</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w:t>
            </w:r>
            <w:r>
              <w:rPr>
                <w:rFonts w:hint="eastAsia" w:ascii="仿宋_GB2312" w:hAnsi="仿宋_GB2312" w:eastAsia="仿宋_GB2312" w:cs="仿宋_GB2312"/>
                <w:szCs w:val="21"/>
                <w:lang w:val="en-US" w:eastAsia="zh-CN"/>
              </w:rPr>
              <w:t>52</w:t>
            </w:r>
            <w:r>
              <w:rPr>
                <w:rFonts w:hint="eastAsia" w:ascii="仿宋_GB2312" w:hAnsi="仿宋_GB2312" w:eastAsia="仿宋_GB2312" w:cs="仿宋_GB2312"/>
                <w:szCs w:val="21"/>
              </w:rPr>
              <w:t>.0</w:t>
            </w:r>
          </w:p>
        </w:tc>
        <w:tc>
          <w:tcPr>
            <w:tcW w:w="1748"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default" w:ascii="仿宋_GB2312" w:hAnsi="宋体" w:eastAsia="仿宋_GB2312" w:cs="仿宋_GB2312"/>
                <w:i w:val="0"/>
                <w:iCs w:val="0"/>
                <w:color w:val="000000"/>
                <w:kern w:val="0"/>
                <w:sz w:val="21"/>
                <w:szCs w:val="21"/>
                <w:u w:val="none"/>
                <w:lang w:val="en-US" w:eastAsia="zh-CN" w:bidi="ar"/>
              </w:rPr>
              <w:t>70.90%</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6.</w:t>
            </w:r>
            <w:r>
              <w:rPr>
                <w:rFonts w:hint="eastAsia" w:ascii="仿宋_GB2312" w:hAnsi="仿宋_GB2312" w:eastAsia="仿宋_GB2312" w:cs="仿宋_GB2312"/>
                <w:kern w:val="0"/>
                <w:szCs w:val="21"/>
                <w:lang w:val="en-US" w:eastAsia="zh-CN"/>
              </w:rPr>
              <w:t>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hint="eastAsia" w:ascii="仿宋_GB2312" w:hAnsi="仿宋_GB2312" w:eastAsia="仿宋_GB2312" w:cs="仿宋_GB2312"/>
                <w:kern w:val="0"/>
                <w:szCs w:val="21"/>
                <w:lang w:val="en-US" w:eastAsia="zh-CN"/>
              </w:rPr>
              <w:t>83</w:t>
            </w: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w:t>
            </w:r>
            <w:r>
              <w:rPr>
                <w:rFonts w:hint="eastAsia" w:ascii="仿宋_GB2312" w:hAnsi="仿宋_GB2312" w:eastAsia="仿宋_GB2312" w:cs="仿宋_GB2312"/>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68</w:t>
            </w:r>
            <w:r>
              <w:rPr>
                <w:rFonts w:hint="eastAsia" w:ascii="仿宋_GB2312" w:hAnsi="仿宋_GB2312" w:eastAsia="仿宋_GB2312" w:cs="仿宋_GB2312"/>
                <w:kern w:val="0"/>
                <w:szCs w:val="21"/>
              </w:rPr>
              <w:t>.0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5.31%</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68</w:t>
            </w:r>
            <w:r>
              <w:rPr>
                <w:rFonts w:hint="eastAsia" w:ascii="仿宋_GB2312" w:hAnsi="仿宋_GB2312" w:eastAsia="仿宋_GB2312" w:cs="仿宋_GB2312"/>
                <w:kern w:val="0"/>
                <w:szCs w:val="21"/>
              </w:rPr>
              <w:t>.0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9</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254</w:t>
            </w:r>
            <w:r>
              <w:rPr>
                <w:rFonts w:hint="eastAsia" w:ascii="仿宋_GB2312" w:hAnsi="仿宋_GB2312" w:eastAsia="仿宋_GB2312" w:cs="仿宋_GB2312"/>
                <w:kern w:val="0"/>
                <w:szCs w:val="21"/>
              </w:rPr>
              <w:t>.0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13</w:t>
            </w:r>
            <w:r>
              <w:rPr>
                <w:rFonts w:hint="eastAsia" w:ascii="仿宋_GB2312" w:hAnsi="仿宋_GB2312" w:eastAsia="仿宋_GB2312" w:cs="仿宋_GB2312"/>
                <w:kern w:val="0"/>
                <w:szCs w:val="21"/>
              </w:rPr>
              <w:t>.5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7.96%</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254</w:t>
            </w:r>
            <w:r>
              <w:rPr>
                <w:rFonts w:hint="eastAsia" w:ascii="仿宋_GB2312" w:hAnsi="仿宋_GB2312" w:eastAsia="仿宋_GB2312" w:cs="仿宋_GB2312"/>
                <w:kern w:val="0"/>
                <w:szCs w:val="21"/>
              </w:rPr>
              <w:t>.0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13</w:t>
            </w:r>
            <w:r>
              <w:rPr>
                <w:rFonts w:hint="eastAsia" w:ascii="仿宋_GB2312" w:hAnsi="仿宋_GB2312" w:eastAsia="仿宋_GB2312" w:cs="仿宋_GB2312"/>
                <w:kern w:val="0"/>
                <w:szCs w:val="21"/>
              </w:rPr>
              <w:t>.5</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5.01%</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8.5</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15.04%</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4.13%</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678</w:t>
            </w:r>
            <w:r>
              <w:rPr>
                <w:rFonts w:hint="eastAsia" w:ascii="仿宋_GB2312" w:hAnsi="仿宋_GB2312" w:eastAsia="仿宋_GB2312" w:cs="仿宋_GB2312"/>
                <w:kern w:val="0"/>
                <w:szCs w:val="21"/>
              </w:rPr>
              <w:t>.0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w:t>
            </w:r>
            <w:r>
              <w:rPr>
                <w:rFonts w:hint="eastAsia" w:ascii="仿宋_GB2312" w:hAnsi="仿宋_GB2312" w:eastAsia="仿宋_GB2312" w:cs="仿宋_GB2312"/>
                <w:kern w:val="0"/>
                <w:szCs w:val="21"/>
                <w:lang w:val="en-US" w:eastAsia="zh-CN"/>
              </w:rPr>
              <w:t>30</w:t>
            </w: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578.0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rPr>
              <w:t>3</w:t>
            </w:r>
            <w:r>
              <w:rPr>
                <w:rFonts w:hint="eastAsia" w:ascii="仿宋_GB2312" w:hAnsi="仿宋_GB2312" w:cs="仿宋_GB2312"/>
                <w:kern w:val="0"/>
                <w:sz w:val="21"/>
                <w:szCs w:val="21"/>
                <w:lang w:val="en-US" w:eastAsia="zh-CN"/>
              </w:rPr>
              <w:t>2</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88</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rPr>
              <w:t>5.</w:t>
            </w:r>
            <w:r>
              <w:rPr>
                <w:rFonts w:hint="eastAsia" w:ascii="仿宋_GB2312" w:hAnsi="仿宋_GB2312" w:cs="仿宋_GB2312"/>
                <w:kern w:val="0"/>
                <w:sz w:val="21"/>
                <w:szCs w:val="21"/>
                <w:lang w:val="en-US" w:eastAsia="zh-CN"/>
              </w:rPr>
              <w:t>5</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3.工程教育认证课程类别</w:t>
      </w:r>
    </w:p>
    <w:tbl>
      <w:tblPr>
        <w:tblStyle w:val="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79"/>
        <w:gridCol w:w="2304"/>
        <w:gridCol w:w="853"/>
        <w:gridCol w:w="214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469" w:type="dxa"/>
            <w:gridSpan w:val="3"/>
            <w:shd w:val="clear" w:color="auto" w:fill="CCE8C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课程类别</w:t>
            </w:r>
          </w:p>
        </w:tc>
        <w:tc>
          <w:tcPr>
            <w:tcW w:w="821" w:type="dxa"/>
            <w:shd w:val="clear" w:color="auto" w:fill="CCE8C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学分</w:t>
            </w:r>
          </w:p>
        </w:tc>
        <w:tc>
          <w:tcPr>
            <w:tcW w:w="2060" w:type="dxa"/>
            <w:shd w:val="clear" w:color="auto" w:fill="CCE8C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占总学分比例（%）</w:t>
            </w:r>
          </w:p>
        </w:tc>
        <w:tc>
          <w:tcPr>
            <w:tcW w:w="691" w:type="dxa"/>
            <w:shd w:val="clear" w:color="auto" w:fill="CCE8C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通识课</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48.0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28.32%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3.54%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其中：人文社会科学类</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40.0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23.60%</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数学与自然科学类课程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24.5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14.45%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24.5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14.45%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restart"/>
            <w:textDirection w:val="tbLrV"/>
            <w:vAlign w:val="center"/>
          </w:tcPr>
          <w:p>
            <w:pPr>
              <w:pStyle w:val="2"/>
              <w:spacing w:after="0" w:line="240" w:lineRule="exact"/>
              <w:ind w:left="113" w:right="113"/>
              <w:jc w:val="center"/>
              <w:rPr>
                <w:rFonts w:ascii="仿宋_GB2312" w:hAnsi="仿宋_GB2312" w:eastAsia="仿宋_GB2312" w:cs="仿宋_GB2312"/>
                <w:spacing w:val="-14"/>
                <w:szCs w:val="21"/>
              </w:rPr>
            </w:pPr>
            <w:r>
              <w:rPr>
                <w:rFonts w:hint="eastAsia" w:ascii="仿宋_GB2312" w:hAnsi="仿宋_GB2312" w:eastAsia="仿宋_GB2312" w:cs="仿宋_GB2312"/>
                <w:kern w:val="0"/>
                <w:szCs w:val="21"/>
              </w:rPr>
              <w:t>工程与专业课程</w:t>
            </w: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9.0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5.31%</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10.32%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9.14%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13.0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7.67%</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4798" w:type="dxa"/>
            <w:gridSpan w:val="2"/>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 xml:space="preserve">                                 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32.45%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工程实践和毕业设计（论文）</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31.0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18.29%</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1.77%</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34.0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20.06%</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其他课程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bl>
    <w:p>
      <w:pPr>
        <w:pStyle w:val="3"/>
        <w:tabs>
          <w:tab w:val="left" w:pos="900"/>
          <w:tab w:val="left" w:pos="1080"/>
        </w:tabs>
        <w:spacing w:line="460" w:lineRule="exact"/>
        <w:ind w:left="0" w:leftChars="0" w:firstLine="560" w:firstLineChars="200"/>
        <w:rPr>
          <w:rFonts w:hint="eastAsia" w:ascii="黑体" w:hAnsi="宋体" w:eastAsia="黑体"/>
          <w:bCs/>
          <w:sz w:val="28"/>
          <w:szCs w:val="28"/>
        </w:rPr>
      </w:pPr>
    </w:p>
    <w:p>
      <w:pPr>
        <w:pStyle w:val="3"/>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军事理论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Military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思想道德与法治</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毛泽东思想和中国特色社会主义理论体系概论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习近平新时代中国特色社会主义思想概论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11030050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11090091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高等数学A1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Mathematics A1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11090092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高等数学A2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Mathematics A2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线性代数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Linear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Probability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11100030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大学物理C</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C</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11100060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大学物理实验C</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Experiment C</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大学生职业生涯规划</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创新思维</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Innovative Thinking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创业实践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Entrepreneurship Practice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大学生心理健康</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Mental health of College Students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61.5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“四史”类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国学博闻类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明治书院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专业导论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Professional Introduction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21251430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高级语言程序设计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High-level Language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21110380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数字逻辑与计算机组成原理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Digital Logic and Computer Composition Principle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68</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数据结构与算法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Structures and Algorithms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21250750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面向对象程序设计（Java）</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Analysis and Design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数据通信与计算机网络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Communications and Computer Networks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操作系统</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 System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280</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kern w:val="0"/>
                <w:sz w:val="18"/>
                <w:szCs w:val="18"/>
              </w:rPr>
              <w:t>1</w:t>
            </w:r>
            <w:r>
              <w:rPr>
                <w:rFonts w:hint="eastAsia"/>
                <w:kern w:val="0"/>
                <w:sz w:val="18"/>
                <w:szCs w:val="18"/>
                <w:lang w:val="en-US" w:eastAsia="zh-CN"/>
              </w:rPr>
              <w:t>68</w:t>
            </w:r>
          </w:p>
        </w:tc>
        <w:tc>
          <w:tcPr>
            <w:tcW w:w="547" w:type="dxa"/>
            <w:tcMar>
              <w:left w:w="0" w:type="dxa"/>
              <w:right w:w="0" w:type="dxa"/>
            </w:tcMar>
            <w:vAlign w:val="center"/>
          </w:tcPr>
          <w:p>
            <w:pPr>
              <w:widowControl/>
              <w:spacing w:line="240" w:lineRule="exact"/>
              <w:jc w:val="center"/>
              <w:rPr>
                <w:rFonts w:hint="eastAsia" w:eastAsia="仿宋_GB2312"/>
                <w:kern w:val="0"/>
                <w:sz w:val="18"/>
                <w:szCs w:val="18"/>
                <w:lang w:eastAsia="zh-CN"/>
              </w:rPr>
            </w:pPr>
            <w:r>
              <w:rPr>
                <w:rFonts w:hint="eastAsia"/>
                <w:kern w:val="0"/>
                <w:sz w:val="18"/>
                <w:szCs w:val="18"/>
                <w:lang w:val="en-US" w:eastAsia="zh-CN"/>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31</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数据库原理及应用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Database Principle and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Java开发进阶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Advanced Java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Web技术基础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Web Technology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软件工程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Engineering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31251250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面向对象分析与设计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Analysis and Design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31111010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软件项目管理与团队建设</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Project Management and Team Building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软件质量保证与测试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Quality Assurance and Testing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31251980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Linux系统应用及服务器配置</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Linux System Apllication and Server Configuration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3039" w:type="dxa"/>
            <w:gridSpan w:val="2"/>
            <w:tcMar>
              <w:left w:w="0" w:type="dxa"/>
              <w:right w:w="0" w:type="dxa"/>
            </w:tcMar>
            <w:vAlign w:val="center"/>
          </w:tcPr>
          <w:p>
            <w:pPr>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33250300</w:t>
            </w:r>
          </w:p>
        </w:tc>
        <w:tc>
          <w:tcPr>
            <w:tcW w:w="2229" w:type="dxa"/>
            <w:tcMar>
              <w:left w:w="0" w:type="dxa"/>
              <w:right w:w="0" w:type="dxa"/>
            </w:tcMar>
            <w:vAlign w:val="center"/>
          </w:tcPr>
          <w:p>
            <w:pPr>
              <w:spacing w:line="240" w:lineRule="exact"/>
              <w:jc w:val="center"/>
              <w:rPr>
                <w:rFonts w:eastAsia="宋体" w:cs="宋体"/>
                <w:kern w:val="0"/>
                <w:sz w:val="18"/>
                <w:szCs w:val="18"/>
              </w:rPr>
            </w:pPr>
            <w:r>
              <w:rPr>
                <w:rFonts w:hint="eastAsia" w:eastAsia="宋体" w:cs="宋体"/>
                <w:kern w:val="0"/>
                <w:sz w:val="18"/>
                <w:szCs w:val="18"/>
              </w:rPr>
              <w:t>前端全栈开发技术</w:t>
            </w:r>
          </w:p>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Front end full stack development technology</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5</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33250200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 EE企业级开发</w:t>
            </w:r>
          </w:p>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JavaEE Enterprise-level Development</w:t>
            </w:r>
          </w:p>
        </w:tc>
        <w:tc>
          <w:tcPr>
            <w:tcW w:w="547" w:type="dxa"/>
            <w:tcMar>
              <w:left w:w="0" w:type="dxa"/>
              <w:right w:w="0" w:type="dxa"/>
            </w:tcMar>
            <w:vAlign w:val="center"/>
          </w:tcPr>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6</w:t>
            </w:r>
          </w:p>
        </w:tc>
        <w:tc>
          <w:tcPr>
            <w:tcW w:w="547" w:type="dxa"/>
            <w:tcMar>
              <w:left w:w="0" w:type="dxa"/>
              <w:right w:w="0" w:type="dxa"/>
            </w:tcMar>
            <w:vAlign w:val="center"/>
          </w:tcPr>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3</w:t>
            </w:r>
          </w:p>
        </w:tc>
        <w:tc>
          <w:tcPr>
            <w:tcW w:w="547" w:type="dxa"/>
            <w:tcMar>
              <w:left w:w="0" w:type="dxa"/>
              <w:right w:w="0" w:type="dxa"/>
            </w:tcMar>
            <w:vAlign w:val="center"/>
          </w:tcPr>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60</w:t>
            </w:r>
          </w:p>
        </w:tc>
        <w:tc>
          <w:tcPr>
            <w:tcW w:w="547" w:type="dxa"/>
            <w:tcMar>
              <w:left w:w="0" w:type="dxa"/>
              <w:right w:w="0" w:type="dxa"/>
            </w:tcMar>
            <w:vAlign w:val="center"/>
          </w:tcPr>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0</w:t>
            </w:r>
          </w:p>
        </w:tc>
        <w:tc>
          <w:tcPr>
            <w:tcW w:w="547" w:type="dxa"/>
            <w:tcMar>
              <w:left w:w="0" w:type="dxa"/>
              <w:right w:w="0" w:type="dxa"/>
            </w:tcMar>
            <w:vAlign w:val="center"/>
          </w:tcPr>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60</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cs="仿宋_GB2312"/>
                <w:kern w:val="0"/>
                <w:sz w:val="18"/>
                <w:szCs w:val="18"/>
              </w:rPr>
              <w:t>33250060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编译原理</w:t>
            </w:r>
          </w:p>
          <w:p>
            <w:pPr>
              <w:pStyle w:val="2"/>
              <w:jc w:val="center"/>
              <w:rPr>
                <w:rFonts w:ascii="Times New Roman" w:hAnsi="Times New Roman" w:eastAsia="宋体" w:cs="Times New Roman"/>
                <w:kern w:val="2"/>
                <w:sz w:val="21"/>
                <w:szCs w:val="24"/>
                <w:lang w:val="en-US" w:eastAsia="zh-CN" w:bidi="ar-SA"/>
              </w:rPr>
            </w:pPr>
            <w:r>
              <w:rPr>
                <w:rFonts w:eastAsia="仿宋_GB2312"/>
                <w:kern w:val="0"/>
                <w:sz w:val="18"/>
                <w:szCs w:val="18"/>
              </w:rPr>
              <w:t>Principles of Compiler</w:t>
            </w:r>
          </w:p>
        </w:tc>
        <w:tc>
          <w:tcPr>
            <w:tcW w:w="547"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6</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48</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48</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0</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3039" w:type="dxa"/>
            <w:gridSpan w:val="2"/>
            <w:tcMar>
              <w:left w:w="0" w:type="dxa"/>
              <w:right w:w="0" w:type="dxa"/>
            </w:tcMar>
            <w:vAlign w:val="center"/>
          </w:tcPr>
          <w:p>
            <w:pPr>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33250110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三维建模与造型</w:t>
            </w:r>
          </w:p>
          <w:p>
            <w:pPr>
              <w:spacing w:line="240" w:lineRule="exact"/>
              <w:jc w:val="center"/>
              <w:rPr>
                <w:rFonts w:ascii="Times New Roman" w:hAnsi="Times New Roman" w:eastAsia="仿宋_GB2312" w:cs="仿宋_GB2312"/>
                <w:color w:val="FF0000"/>
                <w:kern w:val="0"/>
                <w:sz w:val="18"/>
                <w:szCs w:val="18"/>
                <w:lang w:val="en-US" w:eastAsia="zh-CN" w:bidi="ar-SA"/>
              </w:rPr>
            </w:pPr>
            <w:r>
              <w:rPr>
                <w:kern w:val="0"/>
                <w:sz w:val="18"/>
                <w:szCs w:val="18"/>
              </w:rPr>
              <w:t>3D Modeling and Modeling</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5</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33250230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面向对象程序设计（C++）</w:t>
            </w:r>
          </w:p>
          <w:p>
            <w:pPr>
              <w:spacing w:line="240" w:lineRule="exact"/>
              <w:jc w:val="center"/>
              <w:rPr>
                <w:rFonts w:ascii="仿宋_GB2312" w:hAnsi="仿宋_GB2312" w:eastAsia="仿宋_GB2312" w:cs="仿宋_GB2312"/>
                <w:kern w:val="0"/>
                <w:sz w:val="18"/>
                <w:szCs w:val="18"/>
                <w:lang w:val="en-US" w:eastAsia="zh-CN" w:bidi="ar-SA"/>
              </w:rPr>
            </w:pPr>
            <w:r>
              <w:rPr>
                <w:kern w:val="0"/>
                <w:sz w:val="18"/>
                <w:szCs w:val="18"/>
              </w:rPr>
              <w:t>Object-Oriented Programming</w:t>
            </w: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5</w:t>
            </w: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2.0</w:t>
            </w: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40</w:t>
            </w: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40</w:t>
            </w: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p>
        </w:tc>
        <w:tc>
          <w:tcPr>
            <w:tcW w:w="547"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2</w:t>
            </w:r>
          </w:p>
        </w:tc>
        <w:tc>
          <w:tcPr>
            <w:tcW w:w="551"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考查</w:t>
            </w:r>
          </w:p>
        </w:tc>
        <w:tc>
          <w:tcPr>
            <w:tcW w:w="740"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33250120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UV贴图技术</w:t>
            </w:r>
          </w:p>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UV mapping technology</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33250130</w:t>
            </w:r>
          </w:p>
        </w:tc>
        <w:tc>
          <w:tcPr>
            <w:tcW w:w="2229" w:type="dxa"/>
            <w:tcMar>
              <w:left w:w="0" w:type="dxa"/>
              <w:right w:w="0" w:type="dxa"/>
            </w:tcMar>
            <w:vAlign w:val="center"/>
          </w:tcPr>
          <w:p>
            <w:pPr>
              <w:spacing w:line="240" w:lineRule="exact"/>
              <w:jc w:val="center"/>
              <w:rPr>
                <w:rFonts w:ascii="Times New Roman" w:hAnsi="Times New Roman" w:eastAsia="宋体" w:cs="宋体"/>
                <w:kern w:val="0"/>
                <w:sz w:val="18"/>
                <w:szCs w:val="18"/>
                <w:lang w:val="en-US" w:eastAsia="zh-CN" w:bidi="ar-SA"/>
              </w:rPr>
            </w:pPr>
            <w:r>
              <w:rPr>
                <w:rFonts w:hint="eastAsia" w:eastAsia="宋体" w:cs="宋体"/>
                <w:kern w:val="0"/>
                <w:sz w:val="18"/>
                <w:szCs w:val="18"/>
              </w:rPr>
              <w:t>Unreal engine虚拟现实开发Unreal engine virtual reality development</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10</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172</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80</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92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算法分析与设计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Design and Analysis of Algorithms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34251070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python互联网数据获取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Python Internet Data Acquisition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信息安全技术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Information security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大数据平台技术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Platform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34250600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用户界面设计与评测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User Interface Design and Evaluation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工程经济学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Engineering Economics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34270370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大型数据库(ORACLE)</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Large-Scale Database (Oracle)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神经网络与深度学习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Neural Network and Deep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移动应用开发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Mobile application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软件体系结构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architecture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数据仓库与数据挖掘</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DateBase and Data Mining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大数据分析与开发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Analysis and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计算机专业英语</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Professional English of Computer</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34252780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设计模式</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Designing Mode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技术认证课程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Technology Certification Course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hint="eastAsia" w:eastAsia="仿宋_GB2312"/>
                <w:kern w:val="0"/>
                <w:sz w:val="18"/>
                <w:szCs w:val="18"/>
                <w:lang w:eastAsia="zh-CN"/>
              </w:rPr>
            </w:pPr>
            <w:r>
              <w:rPr>
                <w:rFonts w:hint="eastAsia"/>
                <w:kern w:val="0"/>
                <w:sz w:val="18"/>
                <w:szCs w:val="18"/>
                <w:lang w:val="en-US" w:eastAsia="zh-CN"/>
              </w:rPr>
              <w:t>8</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128</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72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144</w:t>
            </w:r>
          </w:p>
        </w:tc>
        <w:tc>
          <w:tcPr>
            <w:tcW w:w="547"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rPr>
              <w:t>2</w:t>
            </w:r>
            <w:r>
              <w:rPr>
                <w:rFonts w:hint="eastAsia" w:ascii="仿宋_GB2312" w:hAnsi="仿宋_GB2312" w:cs="仿宋_GB2312"/>
                <w:kern w:val="0"/>
                <w:sz w:val="18"/>
                <w:szCs w:val="18"/>
                <w:lang w:val="en-US" w:eastAsia="zh-CN"/>
              </w:rPr>
              <w:t>330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1662</w:t>
            </w:r>
          </w:p>
        </w:tc>
        <w:tc>
          <w:tcPr>
            <w:tcW w:w="547"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rPr>
              <w:t>5</w:t>
            </w:r>
            <w:r>
              <w:rPr>
                <w:rFonts w:hint="eastAsia" w:ascii="仿宋_GB2312" w:hAnsi="仿宋_GB2312" w:cs="仿宋_GB2312"/>
                <w:kern w:val="0"/>
                <w:sz w:val="18"/>
                <w:szCs w:val="18"/>
                <w:lang w:val="en-US" w:eastAsia="zh-CN"/>
              </w:rPr>
              <w:t>98</w:t>
            </w:r>
          </w:p>
        </w:tc>
        <w:tc>
          <w:tcPr>
            <w:tcW w:w="547"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88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156.5</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hanging="8"/>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1.本专业适合学生考取职业资格证书有：JAVA应用开发职业技能等级证书(中级)、虚拟现实应用设计与制作。</w:t>
      </w:r>
    </w:p>
    <w:p>
      <w:pPr>
        <w:pStyle w:val="2"/>
        <w:keepNext w:val="0"/>
        <w:keepLines w:val="0"/>
        <w:pageBreakBefore w:val="0"/>
        <w:widowControl w:val="0"/>
        <w:kinsoku/>
        <w:wordWrap/>
        <w:overflowPunct/>
        <w:topLinePunct w:val="0"/>
        <w:autoSpaceDE/>
        <w:autoSpaceDN/>
        <w:bidi w:val="0"/>
        <w:adjustRightInd/>
        <w:snapToGrid/>
        <w:spacing w:after="0" w:line="360" w:lineRule="exact"/>
        <w:ind w:left="14" w:firstLine="451" w:firstLineChars="188"/>
        <w:textAlignment w:val="auto"/>
        <w:rPr>
          <w:rFonts w:hint="eastAsia" w:ascii="仿宋_GB2312" w:eastAsia="仿宋_GB2312"/>
          <w:sz w:val="24"/>
        </w:rPr>
      </w:pPr>
      <w:r>
        <w:rPr>
          <w:rFonts w:hint="eastAsia" w:ascii="仿宋_GB2312" w:eastAsia="仿宋_GB2312"/>
          <w:sz w:val="24"/>
        </w:rPr>
        <w:t>2.校企合作课程1门4.0学分，专创融合课程10门34.0学分。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14" w:firstLine="451" w:firstLineChars="188"/>
        <w:textAlignment w:val="auto"/>
        <w:rPr>
          <w:rFonts w:hint="eastAsia" w:ascii="仿宋_GB2312" w:eastAsia="仿宋_GB2312"/>
          <w:sz w:val="24"/>
        </w:rPr>
      </w:pPr>
      <w:r>
        <w:rPr>
          <w:rFonts w:hint="eastAsia" w:ascii="仿宋_GB2312" w:eastAsia="仿宋_GB2312"/>
          <w:sz w:val="24"/>
        </w:rPr>
        <w:t>3.《习近平新时代中国特色社会主义思想概论》3学分，包括校本特色课程《习近平与闽大》1学分（理论与实践相结合）、《习近平新时代中国特色社会主义思想概论》2学分。</w:t>
      </w:r>
    </w:p>
    <w:p>
      <w:pPr>
        <w:pStyle w:val="3"/>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毛泽东思想和中国特色社会主义理论体系概论实践</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军事技能</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Military Skills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41251340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数据库课程设计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Database Curriculum 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主要专业实验课</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数据结构课程设计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 Structure Curriculum 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主要专业实验课</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专业认知实习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Cognitive Practice</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2</w:t>
            </w:r>
            <w:r>
              <w:rPr>
                <w:rFonts w:hint="eastAsia" w:eastAsia="仿宋_GB2312"/>
                <w:kern w:val="0"/>
                <w:sz w:val="18"/>
                <w:szCs w:val="18"/>
                <w:lang w:val="en-US" w:eastAsia="zh-CN"/>
              </w:rPr>
              <w:t>+暑</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hint="default" w:eastAsia="仿宋_GB2312"/>
                <w:kern w:val="0"/>
                <w:sz w:val="18"/>
                <w:szCs w:val="18"/>
                <w:lang w:val="en-US" w:eastAsia="zh-CN"/>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7.0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41250340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C语言项目训练</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C Language Project Training</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2</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8</w:t>
            </w:r>
            <w:r>
              <w:rPr>
                <w:rFonts w:hint="eastAsia" w:eastAsia="仿宋_GB2312"/>
                <w:kern w:val="0"/>
                <w:sz w:val="18"/>
                <w:szCs w:val="18"/>
                <w:lang w:val="en-US" w:eastAsia="zh-CN"/>
              </w:rPr>
              <w:t>+寒</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hint="default" w:eastAsia="仿宋_GB2312"/>
                <w:kern w:val="0"/>
                <w:sz w:val="18"/>
                <w:szCs w:val="18"/>
                <w:lang w:val="en-US" w:eastAsia="zh-CN"/>
              </w:rPr>
            </w:pPr>
            <w:r>
              <w:rPr>
                <w:rFonts w:eastAsia="仿宋_GB2312"/>
                <w:kern w:val="0"/>
                <w:sz w:val="18"/>
                <w:szCs w:val="18"/>
              </w:rPr>
              <w:t>8</w:t>
            </w:r>
            <w:r>
              <w:rPr>
                <w:rFonts w:hint="eastAsia" w:eastAsia="仿宋_GB2312"/>
                <w:kern w:val="0"/>
                <w:sz w:val="18"/>
                <w:szCs w:val="18"/>
                <w:lang w:val="en-US" w:eastAsia="zh-CN"/>
              </w:rPr>
              <w:t>+4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41250180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工程化项目训练（互联网应用开发）</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Engineering Project Training(Internet Application Development)</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3.0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6</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专创融合课,专业实训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企业实训（互联网应用开发）</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Enterprise Practical Training (Internet Application Development)</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7</w:t>
            </w:r>
            <w:r>
              <w:rPr>
                <w:rFonts w:hint="eastAsia" w:eastAsia="仿宋_GB2312"/>
                <w:kern w:val="0"/>
                <w:sz w:val="18"/>
                <w:szCs w:val="18"/>
                <w:lang w:val="en-US" w:eastAsia="zh-CN"/>
              </w:rPr>
              <w:t>+暑</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hint="default" w:eastAsia="仿宋_GB2312"/>
                <w:kern w:val="0"/>
                <w:sz w:val="18"/>
                <w:szCs w:val="18"/>
                <w:lang w:val="en-US" w:eastAsia="zh-CN"/>
              </w:rPr>
            </w:pPr>
            <w:r>
              <w:rPr>
                <w:rFonts w:hint="eastAsia" w:eastAsia="仿宋_GB2312"/>
                <w:kern w:val="0"/>
                <w:sz w:val="18"/>
                <w:szCs w:val="18"/>
                <w:lang w:val="en-US" w:eastAsia="zh-CN"/>
              </w:rPr>
              <w:t>9</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小学期课程,专创融合课,专业实训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41250200</w:t>
            </w:r>
          </w:p>
        </w:tc>
        <w:tc>
          <w:tcPr>
            <w:tcW w:w="2440" w:type="dxa"/>
            <w:vAlign w:val="center"/>
          </w:tcPr>
          <w:p>
            <w:pPr>
              <w:pStyle w:val="2"/>
              <w:spacing w:after="0" w:line="220" w:lineRule="exact"/>
              <w:jc w:val="center"/>
              <w:rPr>
                <w:rFonts w:eastAsia="仿宋_GB2312" w:cs="宋体"/>
                <w:kern w:val="0"/>
                <w:sz w:val="18"/>
                <w:szCs w:val="18"/>
              </w:rPr>
            </w:pPr>
            <w:r>
              <w:rPr>
                <w:rFonts w:hint="eastAsia" w:eastAsia="仿宋_GB2312" w:cs="宋体"/>
                <w:kern w:val="0"/>
                <w:sz w:val="18"/>
                <w:szCs w:val="18"/>
              </w:rPr>
              <w:t>工程化项目训练（VR）</w:t>
            </w:r>
          </w:p>
          <w:p>
            <w:pPr>
              <w:pStyle w:val="2"/>
              <w:spacing w:after="0" w:line="220" w:lineRule="exact"/>
              <w:jc w:val="center"/>
              <w:rPr>
                <w:rFonts w:hint="eastAsia" w:ascii="Times New Roman" w:hAnsi="Times New Roman" w:eastAsia="仿宋_GB2312" w:cs="宋体"/>
                <w:kern w:val="0"/>
                <w:sz w:val="18"/>
                <w:szCs w:val="18"/>
                <w:lang w:val="en-US" w:eastAsia="zh-CN" w:bidi="ar-SA"/>
              </w:rPr>
            </w:pPr>
            <w:r>
              <w:rPr>
                <w:rFonts w:hint="eastAsia" w:eastAsia="仿宋_GB2312" w:cs="宋体"/>
                <w:kern w:val="0"/>
                <w:sz w:val="18"/>
                <w:szCs w:val="18"/>
              </w:rPr>
              <w:t>Engineering Project Training(Internet Application Development)</w:t>
            </w:r>
          </w:p>
        </w:tc>
        <w:tc>
          <w:tcPr>
            <w:tcW w:w="720"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6</w:t>
            </w:r>
          </w:p>
        </w:tc>
        <w:tc>
          <w:tcPr>
            <w:tcW w:w="667"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3.0</w:t>
            </w:r>
          </w:p>
        </w:tc>
        <w:tc>
          <w:tcPr>
            <w:tcW w:w="692" w:type="dxa"/>
            <w:vAlign w:val="center"/>
          </w:tcPr>
          <w:p>
            <w:pPr>
              <w:pStyle w:val="2"/>
              <w:spacing w:after="0" w:line="320" w:lineRule="exact"/>
              <w:jc w:val="center"/>
              <w:rPr>
                <w:rFonts w:hint="eastAsia" w:ascii="Times New Roman" w:hAnsi="Times New Roman" w:eastAsia="仿宋_GB2312" w:cs="Times New Roman"/>
                <w:kern w:val="0"/>
                <w:sz w:val="18"/>
                <w:szCs w:val="18"/>
                <w:lang w:val="en-US" w:eastAsia="zh-CN" w:bidi="ar-SA"/>
              </w:rPr>
            </w:pPr>
            <w:r>
              <w:rPr>
                <w:rFonts w:hint="eastAsia" w:eastAsia="仿宋_GB2312"/>
                <w:kern w:val="0"/>
                <w:sz w:val="18"/>
                <w:szCs w:val="18"/>
              </w:rPr>
              <w:t>限选</w:t>
            </w:r>
          </w:p>
        </w:tc>
        <w:tc>
          <w:tcPr>
            <w:tcW w:w="709"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6</w:t>
            </w:r>
          </w:p>
        </w:tc>
        <w:tc>
          <w:tcPr>
            <w:tcW w:w="1134" w:type="dxa"/>
            <w:tcMar>
              <w:left w:w="0" w:type="dxa"/>
              <w:right w:w="0" w:type="dxa"/>
            </w:tcMar>
            <w:vAlign w:val="center"/>
          </w:tcPr>
          <w:p>
            <w:pPr>
              <w:pStyle w:val="2"/>
              <w:spacing w:after="0" w:line="220" w:lineRule="exact"/>
              <w:jc w:val="center"/>
              <w:rPr>
                <w:rFonts w:hint="eastAsia" w:ascii="Times New Roman" w:hAnsi="Times New Roman" w:eastAsia="仿宋_GB2312" w:cs="宋体"/>
                <w:kern w:val="0"/>
                <w:sz w:val="18"/>
                <w:szCs w:val="18"/>
                <w:lang w:val="en-US" w:eastAsia="zh-CN" w:bidi="ar-SA"/>
              </w:rPr>
            </w:pPr>
            <w:r>
              <w:rPr>
                <w:rFonts w:hint="eastAsia" w:eastAsia="仿宋_GB2312" w:cs="宋体"/>
                <w:kern w:val="0"/>
                <w:sz w:val="18"/>
                <w:szCs w:val="18"/>
              </w:rPr>
              <w:t>专创融合课,专业实训</w:t>
            </w:r>
          </w:p>
        </w:tc>
        <w:tc>
          <w:tcPr>
            <w:tcW w:w="1605" w:type="dxa"/>
            <w:tcMar>
              <w:left w:w="0" w:type="dxa"/>
              <w:right w:w="0" w:type="dxa"/>
            </w:tcMar>
            <w:vAlign w:val="center"/>
          </w:tcPr>
          <w:p>
            <w:pPr>
              <w:pStyle w:val="2"/>
              <w:spacing w:after="0" w:line="220" w:lineRule="exact"/>
              <w:jc w:val="center"/>
              <w:rPr>
                <w:rFonts w:hint="eastAsia" w:ascii="Times New Roman" w:hAnsi="Times New Roman" w:eastAsia="仿宋_GB2312" w:cs="宋体"/>
                <w:kern w:val="0"/>
                <w:sz w:val="18"/>
                <w:szCs w:val="18"/>
                <w:lang w:val="en-US" w:eastAsia="zh-CN" w:bidi="ar-SA"/>
              </w:rPr>
            </w:pPr>
            <w:r>
              <w:rPr>
                <w:rFonts w:hint="eastAsia"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41250040</w:t>
            </w:r>
          </w:p>
        </w:tc>
        <w:tc>
          <w:tcPr>
            <w:tcW w:w="2440" w:type="dxa"/>
            <w:vAlign w:val="center"/>
          </w:tcPr>
          <w:p>
            <w:pPr>
              <w:pStyle w:val="2"/>
              <w:spacing w:after="0" w:line="220" w:lineRule="exact"/>
              <w:jc w:val="center"/>
              <w:rPr>
                <w:rFonts w:eastAsia="仿宋_GB2312" w:cs="宋体"/>
                <w:kern w:val="0"/>
                <w:sz w:val="18"/>
                <w:szCs w:val="18"/>
              </w:rPr>
            </w:pPr>
            <w:r>
              <w:rPr>
                <w:rFonts w:hint="eastAsia" w:eastAsia="仿宋_GB2312" w:cs="宋体"/>
                <w:kern w:val="0"/>
                <w:sz w:val="18"/>
                <w:szCs w:val="18"/>
              </w:rPr>
              <w:t>企业实训（VR）</w:t>
            </w:r>
          </w:p>
          <w:p>
            <w:pPr>
              <w:pStyle w:val="2"/>
              <w:spacing w:after="0" w:line="220" w:lineRule="exact"/>
              <w:jc w:val="center"/>
              <w:rPr>
                <w:rFonts w:hint="eastAsia" w:ascii="Times New Roman" w:hAnsi="Times New Roman" w:eastAsia="仿宋_GB2312" w:cs="宋体"/>
                <w:kern w:val="0"/>
                <w:sz w:val="18"/>
                <w:szCs w:val="18"/>
                <w:lang w:val="en-US" w:eastAsia="zh-CN" w:bidi="ar-SA"/>
              </w:rPr>
            </w:pPr>
            <w:r>
              <w:rPr>
                <w:rFonts w:hint="eastAsia" w:eastAsia="仿宋_GB2312" w:cs="宋体"/>
                <w:kern w:val="0"/>
                <w:sz w:val="18"/>
                <w:szCs w:val="18"/>
              </w:rPr>
              <w:t>Enterprise Practical Training (VR)</w:t>
            </w:r>
          </w:p>
        </w:tc>
        <w:tc>
          <w:tcPr>
            <w:tcW w:w="720"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7+暑</w:t>
            </w:r>
          </w:p>
        </w:tc>
        <w:tc>
          <w:tcPr>
            <w:tcW w:w="667"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4.5</w:t>
            </w:r>
          </w:p>
        </w:tc>
        <w:tc>
          <w:tcPr>
            <w:tcW w:w="692" w:type="dxa"/>
            <w:vAlign w:val="center"/>
          </w:tcPr>
          <w:p>
            <w:pPr>
              <w:pStyle w:val="2"/>
              <w:spacing w:after="0" w:line="320" w:lineRule="exact"/>
              <w:jc w:val="center"/>
              <w:rPr>
                <w:rFonts w:hint="eastAsia" w:ascii="Times New Roman" w:hAnsi="Times New Roman" w:eastAsia="仿宋_GB2312" w:cs="Times New Roman"/>
                <w:kern w:val="0"/>
                <w:sz w:val="18"/>
                <w:szCs w:val="18"/>
                <w:lang w:val="en-US" w:eastAsia="zh-CN" w:bidi="ar-SA"/>
              </w:rPr>
            </w:pPr>
            <w:r>
              <w:rPr>
                <w:rFonts w:hint="eastAsia" w:eastAsia="仿宋_GB2312"/>
                <w:kern w:val="0"/>
                <w:sz w:val="18"/>
                <w:szCs w:val="18"/>
              </w:rPr>
              <w:t>限选</w:t>
            </w:r>
          </w:p>
        </w:tc>
        <w:tc>
          <w:tcPr>
            <w:tcW w:w="709" w:type="dxa"/>
            <w:vAlign w:val="center"/>
          </w:tcPr>
          <w:p>
            <w:pPr>
              <w:pStyle w:val="2"/>
              <w:spacing w:after="0" w:line="220" w:lineRule="exact"/>
              <w:jc w:val="center"/>
              <w:rPr>
                <w:rFonts w:ascii="Times New Roman" w:hAnsi="Times New Roman" w:eastAsia="仿宋_GB2312" w:cs="宋体"/>
                <w:kern w:val="0"/>
                <w:sz w:val="18"/>
                <w:szCs w:val="18"/>
                <w:lang w:val="en-US" w:eastAsia="zh-CN" w:bidi="ar-SA"/>
              </w:rPr>
            </w:pPr>
            <w:r>
              <w:rPr>
                <w:rFonts w:hint="eastAsia" w:eastAsia="仿宋_GB2312" w:cs="宋体"/>
                <w:kern w:val="0"/>
                <w:sz w:val="18"/>
                <w:szCs w:val="18"/>
              </w:rPr>
              <w:t>9</w:t>
            </w:r>
          </w:p>
        </w:tc>
        <w:tc>
          <w:tcPr>
            <w:tcW w:w="1134" w:type="dxa"/>
            <w:tcMar>
              <w:left w:w="0" w:type="dxa"/>
              <w:right w:w="0" w:type="dxa"/>
            </w:tcMar>
            <w:vAlign w:val="center"/>
          </w:tcPr>
          <w:p>
            <w:pPr>
              <w:pStyle w:val="2"/>
              <w:spacing w:after="0" w:line="220" w:lineRule="exact"/>
              <w:jc w:val="center"/>
              <w:rPr>
                <w:rFonts w:hint="eastAsia" w:ascii="Times New Roman" w:hAnsi="Times New Roman" w:eastAsia="仿宋_GB2312" w:cs="宋体"/>
                <w:kern w:val="0"/>
                <w:sz w:val="18"/>
                <w:szCs w:val="18"/>
                <w:lang w:val="en-US" w:eastAsia="zh-CN" w:bidi="ar-SA"/>
              </w:rPr>
            </w:pPr>
            <w:r>
              <w:rPr>
                <w:rFonts w:hint="eastAsia" w:eastAsia="仿宋_GB2312" w:cs="宋体"/>
                <w:kern w:val="0"/>
                <w:sz w:val="18"/>
                <w:szCs w:val="18"/>
              </w:rPr>
              <w:t>专创融合课,专业实训，小学期课程</w:t>
            </w:r>
          </w:p>
        </w:tc>
        <w:tc>
          <w:tcPr>
            <w:tcW w:w="1605" w:type="dxa"/>
            <w:tcMar>
              <w:left w:w="0" w:type="dxa"/>
              <w:right w:w="0" w:type="dxa"/>
            </w:tcMar>
            <w:vAlign w:val="center"/>
          </w:tcPr>
          <w:p>
            <w:pPr>
              <w:pStyle w:val="2"/>
              <w:spacing w:after="0" w:line="220" w:lineRule="exact"/>
              <w:jc w:val="center"/>
              <w:rPr>
                <w:rFonts w:hint="eastAsia" w:ascii="Times New Roman" w:hAnsi="Times New Roman" w:eastAsia="仿宋_GB2312" w:cs="宋体"/>
                <w:kern w:val="0"/>
                <w:sz w:val="18"/>
                <w:szCs w:val="18"/>
                <w:lang w:val="en-US" w:eastAsia="zh-CN" w:bidi="ar-SA"/>
              </w:rPr>
            </w:pPr>
            <w:r>
              <w:rPr>
                <w:rFonts w:hint="eastAsia"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25.5</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4</w:t>
            </w:r>
            <w:r>
              <w:rPr>
                <w:rFonts w:hint="eastAsia" w:ascii="仿宋_GB2312" w:hAnsi="仿宋_GB2312" w:eastAsia="仿宋_GB2312" w:cs="仿宋_GB2312"/>
                <w:kern w:val="0"/>
                <w:sz w:val="18"/>
                <w:szCs w:val="18"/>
                <w:lang w:val="en-US" w:eastAsia="zh-CN"/>
              </w:rPr>
              <w:t>4+4</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1.《专业认知实习》利用期末考结束后的</w:t>
      </w:r>
      <w:r>
        <w:rPr>
          <w:rFonts w:hint="eastAsia" w:ascii="仿宋_GB2312" w:hAnsi="仿宋_GB2312" w:eastAsia="仿宋_GB2312" w:cs="仿宋_GB2312"/>
          <w:sz w:val="24"/>
          <w:lang w:val="en-US" w:eastAsia="zh-CN"/>
        </w:rPr>
        <w:t>暑假</w:t>
      </w:r>
      <w:r>
        <w:rPr>
          <w:rFonts w:hint="eastAsia" w:ascii="仿宋_GB2312" w:hAnsi="仿宋_GB2312" w:eastAsia="仿宋_GB2312" w:cs="仿宋_GB2312"/>
          <w:sz w:val="24"/>
        </w:rPr>
        <w:t>第一周完成，学时不变</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学分不变</w:t>
      </w:r>
      <w:r>
        <w:rPr>
          <w:rFonts w:hint="eastAsia" w:ascii="仿宋_GB2312" w:hAnsi="仿宋_GB2312" w:eastAsia="仿宋_GB2312" w:cs="仿宋_GB2312"/>
          <w:sz w:val="24"/>
        </w:rPr>
        <w:t>。</w:t>
      </w: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2.《企业实训》提前安排到暑假时段，学时不变</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学分不变</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黑体"/>
          <w:bCs/>
          <w:color w:val="000000"/>
          <w:sz w:val="28"/>
          <w:szCs w:val="28"/>
        </w:rPr>
      </w:pPr>
      <w:r>
        <w:rPr>
          <w:rFonts w:hint="eastAsia" w:ascii="仿宋_GB2312" w:hAnsi="仿宋_GB2312" w:eastAsia="仿宋_GB2312" w:cs="仿宋_GB2312"/>
          <w:sz w:val="24"/>
        </w:rPr>
        <w:t xml:space="preserve">3.《毕业实习》提前安排到寒假时段，增加4周学时，学分不变。   </w:t>
      </w:r>
    </w:p>
    <w:p>
      <w:pPr>
        <w:spacing w:line="460" w:lineRule="exact"/>
        <w:ind w:firstLine="560" w:firstLineChars="200"/>
        <w:rPr>
          <w:rFonts w:hint="eastAsia" w:eastAsia="黑体"/>
          <w:bCs/>
          <w:color w:val="000000"/>
          <w:sz w:val="28"/>
          <w:szCs w:val="28"/>
        </w:rPr>
      </w:pP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p>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参照《闽江学院“第二课堂成绩单”制度实施细则（202</w:t>
            </w:r>
            <w:r>
              <w:rPr>
                <w:rFonts w:hint="eastAsia" w:ascii="仿宋_GB2312" w:hAnsi="仿宋_GB2312" w:cs="仿宋_GB2312"/>
                <w:color w:val="000000"/>
                <w:sz w:val="21"/>
                <w:szCs w:val="21"/>
                <w:lang w:val="en-US" w:eastAsia="zh-CN"/>
              </w:rPr>
              <w:t>2</w:t>
            </w:r>
            <w:r>
              <w:rPr>
                <w:rFonts w:hint="eastAsia" w:ascii="仿宋_GB2312" w:hAnsi="仿宋_GB2312" w:cs="仿宋_GB2312"/>
                <w:color w:val="00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德育实践</w:t>
            </w:r>
          </w:p>
          <w:p>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zU2NTdjMmE5YmE1YmM3ZmVjNTA5YTYwYmQzYzQifQ=="/>
  </w:docVars>
  <w:rsids>
    <w:rsidRoot w:val="7A76739C"/>
    <w:rsid w:val="09410A35"/>
    <w:rsid w:val="0FD73040"/>
    <w:rsid w:val="15EE5F87"/>
    <w:rsid w:val="1D8B67FB"/>
    <w:rsid w:val="20B013C9"/>
    <w:rsid w:val="2A906CB5"/>
    <w:rsid w:val="36D5691C"/>
    <w:rsid w:val="70913AAC"/>
    <w:rsid w:val="7A76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List 2"/>
    <w:basedOn w:val="1"/>
    <w:qFormat/>
    <w:uiPriority w:val="0"/>
    <w:pPr>
      <w:ind w:left="100" w:leftChars="200" w:hanging="200" w:hangingChars="200"/>
    </w:pPr>
    <w:rPr>
      <w:rFonts w:eastAsia="宋体"/>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8501</Words>
  <Characters>12061</Characters>
  <Lines>0</Lines>
  <Paragraphs>0</Paragraphs>
  <TotalTime>25</TotalTime>
  <ScaleCrop>false</ScaleCrop>
  <LinksUpToDate>false</LinksUpToDate>
  <CharactersWithSpaces>12376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2022-11-04T14:52:00Z</dcterms:created>
  <dc:creator>王薇</dc:creator>
  <cp:lastModifiedBy>雷祎</cp:lastModifiedBy>
  <dcterms:modified xsi:type="dcterms:W3CDTF">2022-12-09T01:46:34Z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2FBC1174CCF7472A87C23A70AFD7BFAE</vt:lpwstr>
  </property>
</Properties>
</file>