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after="0"/>
        <w:ind w:firstLine="428" w:firstLineChars="98"/>
        <w:jc w:val="center"/>
        <w:rPr>
          <w:rFonts w:ascii="方正小标宋简体" w:hAnsi="黑体" w:eastAsia="方正小标宋简体"/>
          <w:bCs/>
          <w:sz w:val="44"/>
          <w:szCs w:val="36"/>
        </w:rPr>
      </w:pPr>
      <w:r>
        <w:rPr>
          <w:rFonts w:hint="eastAsia" w:ascii="方正小标宋简体" w:hAnsi="黑体" w:eastAsia="方正小标宋简体"/>
          <w:bCs/>
          <w:sz w:val="44"/>
          <w:szCs w:val="36"/>
        </w:rPr>
        <w:t>2023级软件工程本科专业培养方案</w:t>
      </w:r>
    </w:p>
    <w:p>
      <w:pPr>
        <w:spacing w:line="520" w:lineRule="exact"/>
        <w:rPr>
          <w:rFonts w:ascii="仿宋_GB2312"/>
          <w:b/>
          <w:bCs/>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39"/>
        <w:gridCol w:w="4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专业名称：软件工程</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专业代码：080902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所属学科门类：</w:t>
            </w:r>
            <w:r>
              <w:rPr>
                <w:rFonts w:hint="eastAsia" w:ascii="仿宋_GB2312"/>
                <w:b/>
                <w:bCs/>
                <w:sz w:val="28"/>
                <w:szCs w:val="28"/>
                <w:lang w:val="en-US" w:eastAsia="zh-CN"/>
              </w:rPr>
              <w:t>工学</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授予学位：工学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学制：四年</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所属学院：</w:t>
            </w:r>
            <w:r>
              <w:rPr>
                <w:rFonts w:hint="eastAsia" w:ascii="仿宋_GB2312"/>
                <w:b/>
                <w:bCs/>
                <w:sz w:val="20"/>
                <w:szCs w:val="20"/>
              </w:rPr>
              <w:t>数学与数据科学学院（软件学院）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毕业最低总学分：165.5学分</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总学时：2336学时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专业负责人：林文如</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学院负责人：林文如</w:t>
            </w:r>
          </w:p>
        </w:tc>
      </w:tr>
    </w:tbl>
    <w:p>
      <w:pPr>
        <w:pStyle w:val="4"/>
        <w:spacing w:line="460" w:lineRule="exact"/>
        <w:ind w:left="0" w:leftChars="0" w:firstLine="0" w:firstLineChars="0"/>
        <w:rPr>
          <w:rFonts w:ascii="仿宋_GB2312" w:hAnsi="宋体" w:eastAsia="仿宋_GB2312"/>
          <w:sz w:val="28"/>
          <w:szCs w:val="28"/>
        </w:rPr>
      </w:pPr>
    </w:p>
    <w:p>
      <w:pPr>
        <w:pStyle w:val="4"/>
        <w:spacing w:line="460" w:lineRule="exact"/>
        <w:ind w:left="0" w:leftChars="0" w:firstLine="552" w:firstLineChars="200"/>
        <w:rPr>
          <w:rFonts w:ascii="仿宋_GB2312"/>
          <w:sz w:val="28"/>
          <w:szCs w:val="28"/>
        </w:rPr>
      </w:pPr>
      <w:r>
        <w:rPr>
          <w:rFonts w:hint="eastAsia" w:ascii="黑体" w:hAnsi="宋体" w:eastAsia="黑体"/>
          <w:bCs/>
          <w:sz w:val="28"/>
          <w:szCs w:val="28"/>
        </w:rPr>
        <w:t>一、培养目标</w:t>
      </w:r>
    </w:p>
    <w:p>
      <w:pPr>
        <w:spacing w:line="460" w:lineRule="exact"/>
        <w:ind w:firstLine="552" w:firstLineChars="200"/>
        <w:rPr>
          <w:rFonts w:ascii="仿宋_GB2312"/>
          <w:sz w:val="28"/>
          <w:szCs w:val="28"/>
        </w:rPr>
      </w:pPr>
      <w:r>
        <w:rPr>
          <w:rFonts w:hint="eastAsia" w:ascii="仿宋_GB2312"/>
          <w:sz w:val="28"/>
          <w:szCs w:val="28"/>
        </w:rPr>
        <w:t>本专业以福建省区域数字经济发展为导向，培养德智体美劳全面发展、践行社会主义核心价值观、具有职业道德、人文素养和社会责任感的软件工程人才。学生将掌握数学、自然科学的基础知识，掌握计算系统与软件工程的学科知识和技能，具备计算思维能力、良好的沟通和团队协作能力，能够综合运用先进的软件工程方法、技术和工具，解决复杂的软件工程问题，并构造复杂的软件系统。毕业后，学生将能够在IT企业、各行各业的信息化部门从事复杂软件系统的分析、设计、开发、测试、部署和运维之中的若干环节工作，同时具备终身学习能力、创新精神和国际视野，成为工程型、应用型的高级专门人才。</w:t>
      </w:r>
    </w:p>
    <w:p>
      <w:pPr>
        <w:spacing w:line="460" w:lineRule="exact"/>
        <w:ind w:firstLine="552" w:firstLineChars="200"/>
        <w:rPr>
          <w:rFonts w:ascii="仿宋_GB2312"/>
          <w:sz w:val="28"/>
          <w:szCs w:val="28"/>
        </w:rPr>
      </w:pPr>
      <w:r>
        <w:rPr>
          <w:rFonts w:hint="eastAsia" w:ascii="仿宋_GB2312"/>
          <w:sz w:val="28"/>
          <w:szCs w:val="28"/>
        </w:rPr>
        <w:t>本专业对所培养的学生在毕业五年左右预期目标可具体为以下5个方面：</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目标1</w:t>
      </w:r>
      <w:r>
        <w:rPr>
          <w:rFonts w:hint="eastAsia" w:ascii="仿宋_GB2312"/>
          <w:bCs/>
          <w:sz w:val="28"/>
          <w:szCs w:val="28"/>
          <w:lang w:eastAsia="zh-CN"/>
        </w:rPr>
        <w:t>——</w:t>
      </w:r>
      <w:r>
        <w:rPr>
          <w:rFonts w:hint="eastAsia" w:ascii="仿宋_GB2312"/>
          <w:bCs/>
          <w:sz w:val="28"/>
          <w:szCs w:val="28"/>
        </w:rPr>
        <w:t>职业发展：预期学生在毕业五年内能够在软件工程领域找到稳定的就业机会，并有一定的职业发展。他们可能在软件开发公司、科技企业、互联网企业或其他相关行业就职，担任软件工程师、系统分析师、项目经理等职位。</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目标2</w:t>
      </w:r>
      <w:r>
        <w:rPr>
          <w:rFonts w:hint="eastAsia" w:ascii="仿宋_GB2312"/>
          <w:bCs/>
          <w:sz w:val="28"/>
          <w:szCs w:val="28"/>
          <w:lang w:eastAsia="zh-CN"/>
        </w:rPr>
        <w:t>——</w:t>
      </w:r>
      <w:r>
        <w:rPr>
          <w:rFonts w:hint="eastAsia" w:ascii="仿宋_GB2312"/>
          <w:bCs/>
          <w:sz w:val="28"/>
          <w:szCs w:val="28"/>
        </w:rPr>
        <w:t>技术能力提升：预期学生在毕业五年内能够不断提升自身的技术能力，并掌握新兴技术和工具。他们可能通过参与项目实践、持续学习和专业培训等方式，提高在软件开发、系统设计和软件工程管理等方面的专业水平。</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目标3</w:t>
      </w:r>
      <w:r>
        <w:rPr>
          <w:rFonts w:hint="eastAsia" w:ascii="仿宋_GB2312"/>
          <w:bCs/>
          <w:sz w:val="28"/>
          <w:szCs w:val="28"/>
          <w:lang w:eastAsia="zh-CN"/>
        </w:rPr>
        <w:t>——</w:t>
      </w:r>
      <w:r>
        <w:rPr>
          <w:rFonts w:hint="eastAsia" w:ascii="仿宋_GB2312"/>
          <w:bCs/>
          <w:sz w:val="28"/>
          <w:szCs w:val="28"/>
        </w:rPr>
        <w:t>职位晋升：预期学生在毕业五年内有机会获得职位晋升，例如从初级软件工程师晋升为中级软件工程师或高级软件工程师。通过积累项目经验、扩展技术广度和深度，以及展现出良好的工作表现和领导能力，学生可以有机会晋升到更高级别的职位。</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目标4</w:t>
      </w:r>
      <w:r>
        <w:rPr>
          <w:rFonts w:hint="eastAsia" w:ascii="仿宋_GB2312"/>
          <w:bCs/>
          <w:sz w:val="28"/>
          <w:szCs w:val="28"/>
          <w:lang w:eastAsia="zh-CN"/>
        </w:rPr>
        <w:t>——</w:t>
      </w:r>
      <w:r>
        <w:rPr>
          <w:rFonts w:hint="eastAsia" w:ascii="仿宋_GB2312"/>
          <w:bCs/>
          <w:sz w:val="28"/>
          <w:szCs w:val="28"/>
        </w:rPr>
        <w:t>创业创新：预期学生在毕业五年内有一定的创业或创新能力，并有机会参与创业项目或创新项目。他们可能与合作伙伴共同创办软件公司，开展创新的软件产品或服务，或者积极参与科技创新和创业生态系统。</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目标5</w:t>
      </w:r>
      <w:r>
        <w:rPr>
          <w:rFonts w:hint="eastAsia" w:ascii="仿宋_GB2312"/>
          <w:bCs/>
          <w:sz w:val="28"/>
          <w:szCs w:val="28"/>
          <w:lang w:eastAsia="zh-CN"/>
        </w:rPr>
        <w:t>——</w:t>
      </w:r>
      <w:r>
        <w:rPr>
          <w:rFonts w:hint="eastAsia" w:ascii="仿宋_GB2312"/>
          <w:bCs/>
          <w:sz w:val="28"/>
          <w:szCs w:val="28"/>
        </w:rPr>
        <w:t>行业认可和影响力：预期学生在毕业五年内能够获得行业的认可和一定的影响力。他们可能在行业内获得良好的口碑和声誉，参与行业组织、学术会议或社区活动，发表技术论文或专业博客，并与行业专家、学者和从业人员保持良好的交流和合作。</w:t>
      </w:r>
    </w:p>
    <w:p>
      <w:pPr>
        <w:pStyle w:val="4"/>
        <w:spacing w:line="460" w:lineRule="exact"/>
        <w:ind w:left="0" w:leftChars="0" w:firstLine="552" w:firstLineChars="200"/>
        <w:rPr>
          <w:rFonts w:ascii="仿宋_GB2312"/>
          <w:color w:val="0000FF"/>
          <w:sz w:val="28"/>
          <w:szCs w:val="28"/>
        </w:rPr>
      </w:pPr>
      <w:r>
        <w:rPr>
          <w:rFonts w:hint="eastAsia" w:ascii="黑体" w:hAnsi="黑体" w:eastAsia="黑体" w:cs="仿宋_GB2312"/>
          <w:sz w:val="28"/>
          <w:szCs w:val="28"/>
        </w:rPr>
        <w:t>二、毕业要求</w:t>
      </w:r>
    </w:p>
    <w:p>
      <w:pPr>
        <w:spacing w:line="460" w:lineRule="exact"/>
        <w:ind w:firstLine="552" w:firstLineChars="200"/>
        <w:rPr>
          <w:rFonts w:ascii="仿宋_GB2312"/>
          <w:color w:val="0000FF"/>
          <w:sz w:val="28"/>
          <w:szCs w:val="28"/>
        </w:rPr>
      </w:pPr>
      <w:r>
        <w:rPr>
          <w:rFonts w:hint="eastAsia" w:ascii="仿宋_GB2312"/>
          <w:sz w:val="28"/>
          <w:szCs w:val="28"/>
        </w:rPr>
        <w:t>根据工程教育认证毕业要求框架，结合本专业培养目标，通过对毕业要求12条的每一个毕业要求指标点进行分解，本专业学生在经过四年的系统学习后，应能达到以下12条毕业要求：</w:t>
      </w:r>
    </w:p>
    <w:p>
      <w:pPr>
        <w:spacing w:line="460" w:lineRule="exact"/>
        <w:ind w:firstLine="552" w:firstLineChars="200"/>
        <w:rPr>
          <w:sz w:val="28"/>
          <w:szCs w:val="28"/>
        </w:rPr>
      </w:pPr>
      <w:r>
        <w:rPr>
          <w:rFonts w:hint="eastAsia"/>
          <w:sz w:val="28"/>
          <w:szCs w:val="28"/>
        </w:rPr>
        <w:t>1.工程知识：能够将数学、自然科学、计算机科学及软件工程知识，用于解决计算模型建立与求解、软件系统推演与分析、软件解决方案设计与综合等复杂工程问题。</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1.1.推演与分析、软件解决方案设计与综合等复杂工程问题。</w:t>
      </w:r>
      <w:r>
        <w:rPr>
          <w:rFonts w:hint="eastAsia" w:ascii="华文仿宋" w:hAnsi="华文仿宋" w:eastAsia="华文仿宋"/>
          <w:sz w:val="28"/>
          <w:szCs w:val="28"/>
        </w:rPr>
        <w:tab/>
      </w:r>
      <w:r>
        <w:rPr>
          <w:rFonts w:hint="eastAsia" w:ascii="华文仿宋" w:hAnsi="华文仿宋" w:eastAsia="华文仿宋"/>
          <w:sz w:val="28"/>
          <w:szCs w:val="28"/>
        </w:rPr>
        <w:t>掌握高等数学、线性代数等常用数学知识，能将数学的基本概念运用到软件工程问题表述中，并建立相应的数学模型。</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1.2.掌握自然科学基本知识，能并能运用自然科学基本知识分析工程领域复杂问题。</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1.3.掌握工程基础和计算机基本理论及软硬件的专业基本知识，应用于解决复杂软件工程问题。</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1.4.能将软件工程方法与技术及相关数学模型方法，应用于软件架构、软件复用、算法效率、软件可维护性等复杂软件工程问题解决方案的表述、比较和综合。</w:t>
      </w:r>
    </w:p>
    <w:p>
      <w:pPr>
        <w:spacing w:line="460" w:lineRule="exact"/>
        <w:ind w:firstLine="552" w:firstLineChars="200"/>
        <w:rPr>
          <w:sz w:val="28"/>
          <w:szCs w:val="28"/>
        </w:rPr>
      </w:pPr>
      <w:r>
        <w:rPr>
          <w:rFonts w:hint="eastAsia"/>
          <w:sz w:val="28"/>
          <w:szCs w:val="28"/>
        </w:rPr>
        <w:t>2.问题分析：能够应用数学、自然科学、计算机科学原理及软件工程方法与技术，正确表述软件工程应用领域的复杂工程问题，探究多种软件系统解决方案，并获得一个经济有效的解决方案。</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2.1.能够运用所学的数学、自然科学等相关科学原理，识别和判断复杂工程问题中的算法策略、资源配置、统计分析等关键环节。</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2.2.能够运用计算机科学原理及软件工程专业知识，正确表达和分析复杂工程问题。</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2.3.具备认识并评估软件复杂工程问题的多种解决方案的能力。</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2.4.能够认识现实世界软件系统中的复杂工程问题，灵活运用互联网与信息技术手段进行文献检索、资料查询、信息获取，对利益相关者开展调研，分析设计多种可供选择的方案，并能够通过分析比较选择合理的解决方案。</w:t>
      </w:r>
    </w:p>
    <w:p>
      <w:pPr>
        <w:spacing w:line="460" w:lineRule="exact"/>
        <w:ind w:firstLine="552" w:firstLineChars="200"/>
        <w:rPr>
          <w:sz w:val="28"/>
          <w:szCs w:val="28"/>
        </w:rPr>
      </w:pPr>
      <w:r>
        <w:rPr>
          <w:rFonts w:hint="eastAsia"/>
          <w:sz w:val="28"/>
          <w:szCs w:val="28"/>
        </w:rPr>
        <w:t>3.设计/开发解决方案：能够针对软件系统需求规格说明的要求，设计软件系统的解决方案，构造软件系统，并能够在工程实践过程中体现创新意识，考虑社会、健康、安全、法律、文化以及环境等因素。</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3.1.掌握软件设计流程、软件设计方法及建模技术，能够在设计过程中考虑影响设计目标和技术方案的各种因素，包括利益相关者的健康与安全，效率与效益，以及法律、文化以及环境等，给出合理有效的技术路线和开发方案，完成复杂软件系统的体系结构设计和详细设计。</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3.2.能够按照软件构造标准和软件配置管理的要求，构造可用的、可维护的复杂软件组件及系统。</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3.3.能够在复杂工程实践过程中表现出创新的意向、愿望和设想，并付诸实践。</w:t>
      </w:r>
    </w:p>
    <w:p>
      <w:pPr>
        <w:spacing w:line="460" w:lineRule="exact"/>
        <w:ind w:firstLine="552" w:firstLineChars="200"/>
        <w:rPr>
          <w:sz w:val="28"/>
          <w:szCs w:val="28"/>
        </w:rPr>
      </w:pPr>
      <w:r>
        <w:rPr>
          <w:rFonts w:hint="eastAsia"/>
          <w:sz w:val="28"/>
          <w:szCs w:val="28"/>
        </w:rPr>
        <w:t>4.研究：能够基于计算机科学原理、软件工程技术文档和软件源代码，对复杂软件系统解决方案进行研究，得到关于软件系统解决方案有效性和质量的结论。</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4.1.能够基于计算机科学原理，通过阅读软件工程技术文档和软件源代码，以及软件利益相关者调研，分析复杂软件系统的解决方案。</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4.2.根据复杂软件系统的特征和研究目标选择研究路线，设计实验方案。</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4.3.能够根据实验方案构建实验系统，安全地开展实验，正确地采集实验数据。</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4.4.能对实验结果进行分析和解释，并通过信息综合得到关于复杂软件系统解决方案有效性和质量的结论。</w:t>
      </w:r>
    </w:p>
    <w:p>
      <w:pPr>
        <w:spacing w:line="460" w:lineRule="exact"/>
        <w:ind w:firstLine="552" w:firstLineChars="200"/>
        <w:rPr>
          <w:sz w:val="28"/>
          <w:szCs w:val="28"/>
        </w:rPr>
      </w:pPr>
      <w:r>
        <w:rPr>
          <w:rFonts w:hint="eastAsia"/>
          <w:sz w:val="28"/>
          <w:szCs w:val="28"/>
        </w:rPr>
        <w:t>5.使用现代工具：能够针对复杂软件工程问题，选择、使用或开发恰当的计算机与软件工具，以及运用其它技术或资源，进行软件系统的分析、设计、开发、测试，提高软件工程实践的效率，并能够理解其局限性。</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5.1.能够在问题分析、设计解决方案的过程中，针对具体问题，开发或选择、运用相关现代工具进行复杂软件系统的分析与设计，并能够分析其局限性。</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5.2.能够在开发解决方案和研究的过程中，针对具体问题，开发或选择、运用相关现代工具进行复杂软件系统的开发与测试；能够针对开发的复杂软件系统或组件，模拟和预测其是否满足规定的功能、性能等技术指标，并能够分析其局限性。</w:t>
      </w:r>
    </w:p>
    <w:p>
      <w:pPr>
        <w:spacing w:line="460" w:lineRule="exact"/>
        <w:ind w:firstLine="552" w:firstLineChars="200"/>
        <w:rPr>
          <w:sz w:val="28"/>
          <w:szCs w:val="28"/>
        </w:rPr>
      </w:pPr>
      <w:r>
        <w:rPr>
          <w:rFonts w:hint="eastAsia"/>
          <w:sz w:val="28"/>
          <w:szCs w:val="28"/>
        </w:rPr>
        <w:t>6.工程与社会：能够基于工程相关背景知识进行合理分析，评价软件工程解决方案和工程实践对社会、健康、安全、法律以及文化的影响，并理解应承担的责任。</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6.1.了解工程相关领域的技术标准、知识产权、产业政策和法律法规，理解不同社会文化对复杂工程实践活动的影响。</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6.2.能分析和评价复杂软件工程实践对利益相关者的健康与安全、效率与效益，以及对文化、法律的影响，以及这些制约因素对复杂软件工程项目实施的影响，并理解应承担的责任。</w:t>
      </w:r>
    </w:p>
    <w:p>
      <w:pPr>
        <w:spacing w:line="460" w:lineRule="exact"/>
        <w:ind w:firstLine="552" w:firstLineChars="200"/>
        <w:rPr>
          <w:sz w:val="28"/>
          <w:szCs w:val="28"/>
        </w:rPr>
      </w:pPr>
      <w:r>
        <w:rPr>
          <w:rFonts w:hint="eastAsia"/>
          <w:sz w:val="28"/>
          <w:szCs w:val="28"/>
        </w:rPr>
        <w:t>7.环境和可持续发展：能够在软件工程实践的过程中理解和评价其对环境和可持续发展的影响。</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7.1.知晓和理解环境保护和可持续发展的理念和内涵，以及复杂工程实践对环境保护和可持续发展的影响。</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7.2.能够从环境保护和可持续发展的角度思考复杂软件工程实践的可持续性，评价复杂软件系统在其生命周期中可能对人类和环境造成的损害和隐患。</w:t>
      </w:r>
    </w:p>
    <w:p>
      <w:pPr>
        <w:spacing w:line="460" w:lineRule="exact"/>
        <w:ind w:firstLine="552" w:firstLineChars="200"/>
        <w:rPr>
          <w:sz w:val="28"/>
          <w:szCs w:val="28"/>
        </w:rPr>
      </w:pPr>
      <w:r>
        <w:rPr>
          <w:rFonts w:hint="eastAsia"/>
          <w:sz w:val="28"/>
          <w:szCs w:val="28"/>
        </w:rPr>
        <w:t>8.职业规范：具有人文社会科学素养、社会责任感，能够在工程实践中理解并遵守工程职业道德和规范，履行责任。</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8.1.拥有健康的体魄、积极的人生态度和生活方式，以及良好的心理调适能力。</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8.2.具有社会主义核心价值观，理解个人与社会的关系，了解中国国情，坚持以爱国主义为核心的民族精神和以改革创新为核心的时代精神。</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8.3.能够在工程实践过程中自觉遵守软件工程师的职业道德与规范，包括：诚实公正、诚信守则、严谨敬业、正直负责、工匠精神等。</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8.4.理解软件工程师对公众的安全、健康和福祉以及环境保护的社会责任，能够在软件工程实践中自觉履行责任。</w:t>
      </w:r>
    </w:p>
    <w:p>
      <w:pPr>
        <w:spacing w:line="460" w:lineRule="exact"/>
        <w:ind w:firstLine="552" w:firstLineChars="200"/>
        <w:rPr>
          <w:sz w:val="28"/>
          <w:szCs w:val="28"/>
        </w:rPr>
      </w:pPr>
      <w:r>
        <w:rPr>
          <w:rFonts w:hint="eastAsia"/>
          <w:sz w:val="28"/>
          <w:szCs w:val="28"/>
        </w:rPr>
        <w:t>9.个人和团队：能够在多学科产业背景下的团队中承担个体、团队成员以及负责人的角色。</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9.1.具有团队意识和分享态度，能与其他学科的成员有效沟通，合作共事。</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9.2.能够在团队中独立或合作开展工作，按时交付工作成果。</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9.3.能够组织、协调和指挥团队开展工作，完成项目目标。</w:t>
      </w:r>
    </w:p>
    <w:p>
      <w:pPr>
        <w:spacing w:line="460" w:lineRule="exact"/>
        <w:ind w:firstLine="552" w:firstLineChars="200"/>
        <w:rPr>
          <w:sz w:val="28"/>
          <w:szCs w:val="28"/>
        </w:rPr>
      </w:pPr>
      <w:r>
        <w:rPr>
          <w:rFonts w:hint="eastAsia"/>
          <w:sz w:val="28"/>
          <w:szCs w:val="28"/>
        </w:rPr>
        <w:t>10.沟通：能够就复杂软件工程问题与业界同行及社会公众进行有效沟通和交流，并具备一定的国际视野，能够在跨文化背景下进行沟通和交流。</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10.1.能够就复杂专业问题，以口头、文稿等方式，准确表达自己的观点，回应质疑，理解与业界同行和社会公众交流的差异性。</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10.2.能够比较熟练地用外语进行听说读写, 理解和尊重世界不同文化的差异性和多样性，具备跨文化交流及书面表达能力。</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10.3.了解软件工程专业领域的国际发展趋势、研究热点，能就专业领域中的复杂问题，在跨文化背景下进行基本的沟通和交流。</w:t>
      </w:r>
    </w:p>
    <w:p>
      <w:pPr>
        <w:spacing w:line="460" w:lineRule="exact"/>
        <w:ind w:firstLine="552" w:firstLineChars="200"/>
        <w:rPr>
          <w:sz w:val="28"/>
          <w:szCs w:val="28"/>
        </w:rPr>
      </w:pPr>
      <w:r>
        <w:rPr>
          <w:rFonts w:hint="eastAsia"/>
          <w:sz w:val="28"/>
          <w:szCs w:val="28"/>
        </w:rPr>
        <w:t>11.项目管理：能在多学科环境中应用工程项目管理原理与经济决策方法，保证软件项目目标的实现。</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11.1.了解软件生命周期要素、软件过程模型以及软件项目的成本构成，理解其中涉及的工程管理与经济决策问题，掌握任务管理、进度管理、成本管理等工程管理方法，以及经济决策方法。</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11.2.能在多学科环境中运用工程管理与经济决策方法，确保复杂软件系统可以在规定的时间和成本内完成，并满足规定的功能、性能等技术指标要求。</w:t>
      </w:r>
    </w:p>
    <w:p>
      <w:pPr>
        <w:spacing w:line="460" w:lineRule="exact"/>
        <w:ind w:firstLine="552" w:firstLineChars="200"/>
        <w:rPr>
          <w:sz w:val="28"/>
          <w:szCs w:val="28"/>
        </w:rPr>
      </w:pPr>
      <w:r>
        <w:rPr>
          <w:rFonts w:hint="eastAsia"/>
          <w:sz w:val="28"/>
          <w:szCs w:val="28"/>
        </w:rPr>
        <w:t>12.终身学习：具有自主学习和终身学习的意识，有不断学习和和适应发展的能力。</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12.1.能在社会发展的大背景下，认识到自主和终身学习的必要性，具有更新知识和自我完善的学习欲望，在软件工程实践中不断追求进步。</w:t>
      </w:r>
    </w:p>
    <w:p>
      <w:pPr>
        <w:pStyle w:val="2"/>
        <w:spacing w:after="0" w:line="460" w:lineRule="exact"/>
        <w:ind w:firstLine="552" w:firstLineChars="200"/>
        <w:rPr>
          <w:rFonts w:ascii="华文仿宋" w:hAnsi="华文仿宋" w:eastAsia="华文仿宋"/>
          <w:sz w:val="28"/>
          <w:szCs w:val="28"/>
        </w:rPr>
      </w:pPr>
      <w:r>
        <w:rPr>
          <w:rFonts w:hint="eastAsia" w:ascii="华文仿宋" w:hAnsi="华文仿宋" w:eastAsia="华文仿宋"/>
          <w:sz w:val="28"/>
          <w:szCs w:val="28"/>
        </w:rPr>
        <w:t>12.2.具有自主学习的能力，能够在软件工程实践中发现并提出问题，能够理解并运用新技术，能够归纳总结工程实践经验，能够持续提高并完善自身的专业能力。</w:t>
      </w:r>
    </w:p>
    <w:p>
      <w:pPr>
        <w:spacing w:line="460" w:lineRule="exact"/>
        <w:ind w:firstLine="552" w:firstLineChars="200"/>
        <w:jc w:val="left"/>
        <w:rPr>
          <w:rFonts w:eastAsia="黑体"/>
          <w:bCs/>
          <w:sz w:val="28"/>
          <w:szCs w:val="28"/>
        </w:rPr>
      </w:pPr>
      <w:r>
        <w:rPr>
          <w:rFonts w:hint="eastAsia" w:eastAsia="黑体"/>
          <w:bCs/>
          <w:sz w:val="28"/>
          <w:szCs w:val="28"/>
        </w:rPr>
        <w:t>三、“培养目标—毕业要求”和“毕业要求—课程体系”支撑矩阵</w:t>
      </w:r>
    </w:p>
    <w:p>
      <w:pPr>
        <w:jc w:val="center"/>
        <w:rPr>
          <w:rFonts w:ascii="仿宋_GB2312" w:hAnsi="楷体" w:cs="楷体"/>
          <w:sz w:val="28"/>
          <w:szCs w:val="28"/>
        </w:rPr>
      </w:pPr>
      <w:r>
        <w:rPr>
          <w:rFonts w:hint="eastAsia" w:ascii="仿宋_GB2312" w:hAnsi="宋体" w:cs="Arial"/>
          <w:b/>
          <w:kern w:val="0"/>
          <w:sz w:val="28"/>
          <w:szCs w:val="28"/>
          <w:shd w:val="clear" w:color="auto" w:fill="FFFFFF"/>
        </w:rPr>
        <w:t>表3-1   专业毕业要求对培养目标的支撑矩阵</w:t>
      </w:r>
    </w:p>
    <w:tbl>
      <w:tblPr>
        <w:tblStyle w:val="7"/>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9"/>
        <w:gridCol w:w="1559"/>
        <w:gridCol w:w="1559"/>
        <w:gridCol w:w="1559"/>
        <w:gridCol w:w="155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079" w:type="dxa"/>
            <w:tcBorders>
              <w:tl2br w:val="single" w:color="000000" w:sz="4" w:space="0"/>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 xml:space="preserve">   目标</w:t>
            </w:r>
          </w:p>
          <w:p>
            <w:pPr>
              <w:ind w:firstLine="412" w:firstLineChars="200"/>
              <w:rPr>
                <w:rFonts w:ascii="仿宋_GB2312" w:hAnsi="仿宋_GB2312" w:cs="仿宋_GB2312"/>
                <w:sz w:val="21"/>
                <w:szCs w:val="21"/>
              </w:rPr>
            </w:pPr>
            <w:r>
              <w:rPr>
                <w:rFonts w:hint="eastAsia" w:ascii="仿宋_GB2312" w:hAnsi="仿宋_GB2312" w:cs="仿宋_GB2312"/>
                <w:sz w:val="21"/>
                <w:szCs w:val="21"/>
              </w:rPr>
              <w:t>要求</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培养目标1</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培养目标2</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培养目标3</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培养目标4</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毕业要求2</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毕业要求3</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毕业要求4</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毕业要求5</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毕业要求6</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毕业要求7</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毕业要求8</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毕业要求9</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毕业要求10</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毕业要求11</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毕业要求12</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bl>
    <w:p>
      <w:pPr>
        <w:jc w:val="center"/>
        <w:rPr>
          <w:rFonts w:ascii="仿宋_GB2312" w:hAnsi="宋体" w:cs="Arial"/>
          <w:b/>
          <w:kern w:val="0"/>
          <w:sz w:val="28"/>
          <w:szCs w:val="28"/>
          <w:shd w:val="clear" w:color="auto" w:fill="FFFFFF"/>
        </w:rPr>
      </w:pPr>
      <w:r>
        <w:rPr>
          <w:rFonts w:hint="eastAsia" w:ascii="仿宋_GB2312" w:hAnsi="宋体" w:cs="Arial"/>
          <w:b/>
          <w:kern w:val="0"/>
          <w:sz w:val="28"/>
          <w:szCs w:val="28"/>
          <w:shd w:val="clear" w:color="auto" w:fill="FFFFFF"/>
        </w:rPr>
        <w:t>3-2   专业课程体系对毕业要求的支撑矩阵</w:t>
      </w:r>
    </w:p>
    <w:tbl>
      <w:tblPr>
        <w:tblStyle w:val="7"/>
        <w:tblW w:w="9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3"/>
        <w:gridCol w:w="649"/>
        <w:gridCol w:w="649"/>
        <w:gridCol w:w="649"/>
        <w:gridCol w:w="649"/>
        <w:gridCol w:w="649"/>
        <w:gridCol w:w="649"/>
        <w:gridCol w:w="649"/>
        <w:gridCol w:w="649"/>
        <w:gridCol w:w="649"/>
        <w:gridCol w:w="649"/>
        <w:gridCol w:w="649"/>
        <w:gridCol w:w="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53" w:type="dxa"/>
            <w:vMerge w:val="restart"/>
            <w:shd w:val="clear" w:color="auto" w:fill="FFFFFF"/>
            <w:vAlign w:val="center"/>
          </w:tcPr>
          <w:p>
            <w:pPr>
              <w:snapToGrid w:val="0"/>
              <w:jc w:val="center"/>
              <w:rPr>
                <w:rFonts w:ascii="仿宋_GB2312" w:hAnsi="仿宋_GB2312" w:cs="仿宋_GB2312"/>
                <w:b/>
                <w:color w:val="000000"/>
                <w:sz w:val="21"/>
                <w:szCs w:val="21"/>
              </w:rPr>
            </w:pPr>
            <w:r>
              <w:rPr>
                <w:rFonts w:hint="eastAsia" w:ascii="仿宋_GB2312" w:hAnsi="仿宋_GB2312" w:cs="仿宋_GB2312"/>
                <w:color w:val="000000"/>
                <w:sz w:val="21"/>
                <w:szCs w:val="21"/>
              </w:rPr>
              <w:t>课程名称</w:t>
            </w:r>
          </w:p>
        </w:tc>
        <w:tc>
          <w:tcPr>
            <w:tcW w:w="7788" w:type="dxa"/>
            <w:gridSpan w:val="12"/>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毕业要求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53" w:type="dxa"/>
            <w:vMerge w:val="continue"/>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2</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3</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4</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5</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6</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7</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8</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9</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10</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11</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高等数学A1</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大学生职业生涯规划</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军事理论</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 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大学生心理健康</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高等数学A2</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大学物理C</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大学物理实验C</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创新思维</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思想道德与法治</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习近平与闽大</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 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大学英语3</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线性代数</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大学体育3</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创业实践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中国近现代史纲要</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 3</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大学英语4</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概率统计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大学体育4</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马克思主义基本原理</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习近平新时代中国特色社会主义思想概论</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 4</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毛泽东思想和中国特色社会主义理论体系概论</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 5</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就业指导</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 6</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 7</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 8</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专业导论</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离散数学</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高级语言程序设计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数据结构与算法</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数据库原理及应用</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面向对象程序设计（Java）</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操作系统原理</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数据通信与计算机网络</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计算机组成原理</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Web技术基础</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程序设计案例实践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Linux系统应用</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软件质量保证与测试</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面向对象分析与设计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软件项目管理与团队建设</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专业文献阅读与写作</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软件工程</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Java开发进阶</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前端全栈开发技术</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Java EE企业级开发</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算法分析与设计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三维建模与造型</w:t>
            </w: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H</w:t>
            </w:r>
          </w:p>
        </w:tc>
        <w:tc>
          <w:tcPr>
            <w:tcW w:w="649" w:type="dxa"/>
            <w:shd w:val="clear" w:color="auto" w:fill="FFFFFF"/>
            <w:vAlign w:val="center"/>
          </w:tcPr>
          <w:p>
            <w:pPr>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UV贴图技术</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大型数据库</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Python及应用</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信息安全技术</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编译原理</w:t>
            </w: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H</w:t>
            </w: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移动应用开发</w:t>
            </w: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hint="default"/>
                <w:lang w:val="en-US" w:eastAsia="zh-CN"/>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Unreal engine虚拟现实开发</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大数据平台技术</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lang w:val="en-US" w:eastAsia="zh-CN"/>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软件测试进阶</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H</w:t>
            </w: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深度学习与神经网络</w:t>
            </w: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hint="default"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L</w:t>
            </w: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L</w:t>
            </w:r>
            <w:bookmarkStart w:id="0" w:name="_GoBack"/>
            <w:bookmarkEnd w:id="0"/>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军事技能</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专业认知实习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数据结构课程设计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数据库课程设计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毛泽东思想和中国特色社会主义理论体系概论实践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工程化项目训练（互联网应用开发）</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企业实训（互联网应用开发）</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毕业实习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SPEC计划</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毕业论文（设计）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德育实践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创新创业教育实践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体育实践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美育实践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专业教育实践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劳动教育</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bl>
    <w:p>
      <w:pPr>
        <w:pStyle w:val="4"/>
        <w:tabs>
          <w:tab w:val="left" w:pos="1080"/>
          <w:tab w:val="left" w:pos="1668"/>
        </w:tabs>
        <w:spacing w:line="520" w:lineRule="exact"/>
        <w:ind w:left="0" w:leftChars="0" w:firstLine="552" w:firstLineChars="200"/>
        <w:rPr>
          <w:rFonts w:eastAsia="仿宋_GB2312" w:cs="仿宋_GB2312"/>
          <w:bCs/>
          <w:color w:val="000000"/>
          <w:sz w:val="28"/>
          <w:szCs w:val="28"/>
        </w:rPr>
        <w:sectPr>
          <w:headerReference r:id="rId3" w:type="default"/>
          <w:footerReference r:id="rId4" w:type="default"/>
          <w:pgSz w:w="11906" w:h="16838"/>
          <w:pgMar w:top="1417" w:right="1417" w:bottom="1417" w:left="1417" w:header="851" w:footer="1134" w:gutter="0"/>
          <w:pgNumType w:fmt="numberInDash"/>
          <w:cols w:space="720" w:num="1"/>
          <w:docGrid w:type="linesAndChars" w:linePitch="579" w:charSpace="-849"/>
        </w:sectPr>
      </w:pPr>
    </w:p>
    <w:p>
      <w:pPr>
        <w:pStyle w:val="4"/>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四、主干学科和核心课程</w:t>
      </w:r>
    </w:p>
    <w:p>
      <w:pPr>
        <w:pStyle w:val="4"/>
        <w:spacing w:line="4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主干学科：软件工程</w:t>
      </w:r>
    </w:p>
    <w:p>
      <w:pPr>
        <w:pStyle w:val="4"/>
        <w:spacing w:line="4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核心课程：计算机组成原理、离散数学、数据库原理及应用、操作系统原理、数据结构与算法、高级语言程序设计、面向对象程序设计（Java）、数据通信与计算机网络、Linux系统应用、软件工程、面向对象分析与设计、软件项目管理与团队建设、软件质量保证与测试</w:t>
      </w:r>
    </w:p>
    <w:p>
      <w:pPr>
        <w:pStyle w:val="4"/>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五、主要实践性教学环节/主要专业实验</w:t>
      </w:r>
    </w:p>
    <w:p>
      <w:pPr>
        <w:pStyle w:val="4"/>
        <w:tabs>
          <w:tab w:val="left" w:pos="1080"/>
        </w:tabs>
        <w:spacing w:line="460" w:lineRule="exact"/>
        <w:ind w:left="0" w:leftChars="0" w:firstLine="562" w:firstLineChars="200"/>
        <w:rPr>
          <w:rFonts w:ascii="仿宋_GB2312" w:eastAsia="仿宋_GB2312"/>
          <w:sz w:val="28"/>
          <w:szCs w:val="28"/>
        </w:rPr>
      </w:pPr>
      <w:r>
        <w:rPr>
          <w:rFonts w:hint="eastAsia" w:ascii="仿宋_GB2312" w:hAnsi="宋体" w:eastAsia="仿宋_GB2312"/>
          <w:b/>
          <w:bCs/>
          <w:sz w:val="28"/>
          <w:szCs w:val="28"/>
        </w:rPr>
        <w:t>主要实践性教学环节：</w:t>
      </w:r>
      <w:r>
        <w:rPr>
          <w:rFonts w:hint="eastAsia" w:ascii="仿宋_GB2312" w:eastAsia="仿宋_GB2312"/>
          <w:sz w:val="28"/>
          <w:szCs w:val="28"/>
        </w:rPr>
        <w:t>军事技能、专业认知实习、数据结构课程设计、数据库课程设计、毛泽东思想和中国特色社会主义理论体系概论实践、工程化项目训练（互联网应用开发）、毕业实习、企业实训（互联网应用开发）、SPEC计划、毕业论文（设计）</w:t>
      </w:r>
    </w:p>
    <w:p>
      <w:pPr>
        <w:pStyle w:val="4"/>
        <w:tabs>
          <w:tab w:val="left" w:pos="1080"/>
        </w:tabs>
        <w:spacing w:line="460" w:lineRule="exact"/>
        <w:ind w:left="0" w:leftChars="0" w:firstLine="562" w:firstLineChars="200"/>
        <w:rPr>
          <w:rFonts w:ascii="仿宋_GB2312" w:eastAsia="仿宋_GB2312"/>
          <w:sz w:val="28"/>
          <w:szCs w:val="28"/>
        </w:rPr>
      </w:pPr>
      <w:r>
        <w:rPr>
          <w:rFonts w:hint="eastAsia" w:ascii="仿宋_GB2312" w:hAnsi="宋体" w:eastAsia="仿宋_GB2312"/>
          <w:b/>
          <w:bCs/>
          <w:sz w:val="28"/>
          <w:szCs w:val="28"/>
        </w:rPr>
        <w:t>主要专业实验：</w:t>
      </w:r>
      <w:r>
        <w:rPr>
          <w:rFonts w:hint="eastAsia" w:ascii="仿宋_GB2312" w:hAnsi="宋体" w:eastAsia="仿宋_GB2312"/>
          <w:sz w:val="28"/>
          <w:szCs w:val="28"/>
        </w:rPr>
        <w:t>高级语言程序设计、Web技术基础、程序设计案例实践、面向对象程序设计（Java）、数据结构与算法、数据库原理及应用、Linux系统应用、操作系统原理、面向对象分析与设计、软件质量保证与测试、数据通信与计算机网络、计算机组成原理、软件工程、软件项目管理与团队建设</w:t>
      </w:r>
    </w:p>
    <w:p>
      <w:pPr>
        <w:pStyle w:val="4"/>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六、课程设置、结构比例与说明</w:t>
      </w:r>
    </w:p>
    <w:p>
      <w:pPr>
        <w:snapToGrid w:val="0"/>
        <w:spacing w:line="460" w:lineRule="exact"/>
        <w:ind w:firstLine="560" w:firstLineChars="200"/>
        <w:rPr>
          <w:rFonts w:ascii="仿宋_GB2312" w:hAnsi="仿宋_GB2312" w:cs="仿宋_GB2312"/>
          <w:sz w:val="28"/>
          <w:szCs w:val="28"/>
        </w:rPr>
      </w:pPr>
      <w:r>
        <w:rPr>
          <w:rFonts w:hint="eastAsia" w:ascii="仿宋_GB2312" w:hAnsi="仿宋_GB2312" w:cs="仿宋_GB2312"/>
          <w:sz w:val="28"/>
          <w:szCs w:val="28"/>
        </w:rPr>
        <w:t>1.理论教学</w:t>
      </w:r>
    </w:p>
    <w:tbl>
      <w:tblPr>
        <w:tblStyle w:val="7"/>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203"/>
        <w:gridCol w:w="1460"/>
        <w:gridCol w:w="1642"/>
        <w:gridCol w:w="146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1460"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1642"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占总学分比</w:t>
            </w:r>
          </w:p>
        </w:tc>
        <w:tc>
          <w:tcPr>
            <w:tcW w:w="1460"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1748"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szCs w:val="21"/>
              </w:rPr>
              <w:t>必</w:t>
            </w:r>
          </w:p>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kern w:val="0"/>
                <w:szCs w:val="21"/>
              </w:rPr>
              <w:t>课</w:t>
            </w: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通识课程 （公共基础课）</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55.1</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33.29%</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978.0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41.87%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学科（专业）基础课程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19.6</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11.84%</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314.0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专业课程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9.5</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5.74%</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152.0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选</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通识课程 （公共基础课）</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3.63%</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90.0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专业课程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7.8</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4.71%</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124.0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98.0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59.21%</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1658.0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70.98%</w:t>
            </w:r>
          </w:p>
        </w:tc>
      </w:tr>
    </w:tbl>
    <w:p>
      <w:pPr>
        <w:adjustRightInd w:val="0"/>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2.实践教学</w:t>
      </w:r>
    </w:p>
    <w:tbl>
      <w:tblPr>
        <w:tblStyle w:val="7"/>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49"/>
        <w:gridCol w:w="2059"/>
        <w:gridCol w:w="802"/>
        <w:gridCol w:w="792"/>
        <w:gridCol w:w="950"/>
        <w:gridCol w:w="792"/>
        <w:gridCol w:w="794"/>
        <w:gridCol w:w="802"/>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80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79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950" w:type="dxa"/>
            <w:vMerge w:val="restart"/>
            <w:tcBorders>
              <w:top w:val="single" w:color="auto" w:sz="4" w:space="0"/>
              <w:left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w:t>
            </w:r>
          </w:p>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分比</w:t>
            </w:r>
          </w:p>
        </w:tc>
        <w:tc>
          <w:tcPr>
            <w:tcW w:w="1586"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其中实验</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802"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792"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950"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践</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教</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w:t>
            </w: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必</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108.0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6.4</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3.87%</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88.0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学科（专业）基础课程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182.0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9.9</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5.98%</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182.0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9.9</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176.0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9.5</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5.74%</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156.0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8.4</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选</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212.0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11.7</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7.07%</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212.0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11.7</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集中实践课程教学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42周</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23.0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13.90%</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第二课堂教育教学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4.23%</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678.0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67.5</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40.79%</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570.0</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31.2</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108.0</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6.3</w:t>
            </w:r>
          </w:p>
        </w:tc>
      </w:tr>
    </w:tbl>
    <w:p>
      <w:pPr>
        <w:adjustRightInd w:val="0"/>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3.工程教育认证课程类别</w:t>
      </w:r>
    </w:p>
    <w:tbl>
      <w:tblPr>
        <w:tblStyle w:val="8"/>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679"/>
        <w:gridCol w:w="2304"/>
        <w:gridCol w:w="853"/>
        <w:gridCol w:w="2140"/>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469" w:type="dxa"/>
            <w:gridSpan w:val="3"/>
            <w:shd w:val="clear" w:color="auto" w:fill="FFFFF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课程类别</w:t>
            </w:r>
          </w:p>
        </w:tc>
        <w:tc>
          <w:tcPr>
            <w:tcW w:w="821" w:type="dxa"/>
            <w:shd w:val="clear" w:color="auto" w:fill="FFFFF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学分</w:t>
            </w:r>
          </w:p>
        </w:tc>
        <w:tc>
          <w:tcPr>
            <w:tcW w:w="2060" w:type="dxa"/>
            <w:shd w:val="clear" w:color="auto" w:fill="FFFFF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占总学分比例（%）</w:t>
            </w:r>
          </w:p>
        </w:tc>
        <w:tc>
          <w:tcPr>
            <w:tcW w:w="691" w:type="dxa"/>
            <w:shd w:val="clear" w:color="auto" w:fill="FFFFF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达标值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通识课</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48.0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29.00%</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6.0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3.63%</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其中：人文社会科学类</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29.0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17.52%</w:t>
            </w:r>
          </w:p>
        </w:tc>
        <w:tc>
          <w:tcPr>
            <w:tcW w:w="691"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数学与自然科学类课程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25.0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15.11%</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小计</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25.0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15.11%</w:t>
            </w:r>
          </w:p>
        </w:tc>
        <w:tc>
          <w:tcPr>
            <w:tcW w:w="691"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restart"/>
            <w:textDirection w:val="tbLrV"/>
            <w:vAlign w:val="center"/>
          </w:tcPr>
          <w:p>
            <w:pPr>
              <w:pStyle w:val="2"/>
              <w:spacing w:after="0" w:line="240" w:lineRule="exact"/>
              <w:ind w:left="113" w:right="113"/>
              <w:jc w:val="center"/>
              <w:rPr>
                <w:rFonts w:ascii="仿宋_GB2312" w:hAnsi="仿宋_GB2312" w:eastAsia="仿宋_GB2312" w:cs="仿宋_GB2312"/>
                <w:spacing w:val="-14"/>
                <w:szCs w:val="21"/>
              </w:rPr>
            </w:pPr>
            <w:r>
              <w:rPr>
                <w:rFonts w:hint="eastAsia" w:ascii="仿宋_GB2312" w:hAnsi="仿宋_GB2312" w:eastAsia="仿宋_GB2312" w:cs="仿宋_GB2312"/>
                <w:kern w:val="0"/>
                <w:szCs w:val="21"/>
              </w:rPr>
              <w:t>工程与专业课程</w:t>
            </w:r>
          </w:p>
        </w:tc>
        <w:tc>
          <w:tcPr>
            <w:tcW w:w="2580" w:type="dxa"/>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工程基础类课程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5.0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3.02%</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专业基础类课程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26.0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15.71%</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专业类课程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12.5</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7.55%</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9.0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5.44%</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4798" w:type="dxa"/>
            <w:gridSpan w:val="2"/>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 xml:space="preserve">                                 小计</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52.5</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31.72%</w:t>
            </w:r>
          </w:p>
        </w:tc>
        <w:tc>
          <w:tcPr>
            <w:tcW w:w="691"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工程实践和毕业设计（论文）</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34.0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20.54%</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小计</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34.0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20.54%</w:t>
            </w:r>
          </w:p>
        </w:tc>
        <w:tc>
          <w:tcPr>
            <w:tcW w:w="691"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其他课程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bl>
    <w:p>
      <w:pPr>
        <w:pStyle w:val="4"/>
        <w:tabs>
          <w:tab w:val="left" w:pos="900"/>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 xml:space="preserve">七、课堂教学计划表 </w:t>
      </w:r>
    </w:p>
    <w:tbl>
      <w:tblPr>
        <w:tblStyle w:val="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34"/>
        <w:gridCol w:w="810"/>
        <w:gridCol w:w="2229"/>
        <w:gridCol w:w="547"/>
        <w:gridCol w:w="547"/>
        <w:gridCol w:w="547"/>
        <w:gridCol w:w="547"/>
        <w:gridCol w:w="547"/>
        <w:gridCol w:w="547"/>
        <w:gridCol w:w="547"/>
        <w:gridCol w:w="551"/>
        <w:gridCol w:w="740"/>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tblHeader/>
          <w:jc w:val="center"/>
        </w:trPr>
        <w:tc>
          <w:tcPr>
            <w:tcW w:w="668"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    性质</w:t>
            </w:r>
          </w:p>
        </w:tc>
        <w:tc>
          <w:tcPr>
            <w:tcW w:w="81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代码</w:t>
            </w:r>
          </w:p>
        </w:tc>
        <w:tc>
          <w:tcPr>
            <w:tcW w:w="2229"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课程名称</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开课学期</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学分</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总学时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讲授</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实验</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实训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周学时</w:t>
            </w: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考核</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方式</w:t>
            </w:r>
          </w:p>
        </w:tc>
        <w:tc>
          <w:tcPr>
            <w:tcW w:w="740" w:type="dxa"/>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课程标识</w:t>
            </w:r>
          </w:p>
        </w:tc>
        <w:tc>
          <w:tcPr>
            <w:tcW w:w="741" w:type="dxa"/>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开课</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通识课程 ︵公共基础课︶</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公共外语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11090091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高等数学A1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Higher Mathematics A1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11600011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大学生职业生涯规划</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Undergraduate Students Career Planning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军事理论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Theory of Military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11620151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形势与政策 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Situation and Policy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大学生心理健康</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Mental health of College Students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教师教育学院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公共外语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11090092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高等数学A2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Higher Mathematics A2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11100030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大学物理C</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Physics C</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物电学院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11100060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大学物理实验C</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Physics Experiment C</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物电学院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11600022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创新思维</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Innovative Thinking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思想道德与法治</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Ideological Morality and Rule of Law</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习近平与闽大</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Xi Jinping and Minjiang University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11620152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形势与政策 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Situation and Policy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公共外语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11090110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线性代数</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Linear Algebra</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11600031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创业实践</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Entrepreneurship Practice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中国近现代史纲要</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Outline of Modern Chinese History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11620153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形势与政策 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Situation and Policy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11020084</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大学英语4</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公共外语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11090020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概率统计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Probability Statistics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11510014</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大学体育4</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马克思主义基本原理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 Basic Principles of Marxism</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习近平新时代中国特色社会主义思想概论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An Introduction to Xi Jinping Thought on Socialism with Chinese Characteristics for a New Era</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11620154</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形势与政策 4</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Situation and Policy 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毛泽东思想和中国特色社会主义理论体系概论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Introduction to Mao Zedong Thought and the Theoretical System of Socialism with Chinese Characteristics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11620155</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形势与政策 5</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Situation and Policy 5</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11600042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就业指导</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Employment Guidance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11620156</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形势与政策 6</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Situation and Policy 6</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11620157</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形势与政策 7</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Situation and Policy 7</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11620158</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形势与政策 8</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Situation and Policy 8</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61.5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1086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978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84</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选修</w:t>
            </w: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“四史”类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国学博闻类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公共艺术类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任意类别</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学科︵专业︶基础课程</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21250330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专业导论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Professional Introduction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21250431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离散数学</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Discrete Mathematics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3.5</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21251430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高级语言程序设计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High-level Language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21250470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数据结构与算法</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 Structures and Algorithms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21250480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数据库原理及应用</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Principles and Application of Database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21250750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面向对象程序设计（Java）</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Object-Oriented Analysis and Design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21250461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操作系统原理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Operating System Principles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3.5</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21250450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数据通信与计算机网络</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 Communications and Computer Networks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21250011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计算机组成原理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Computer Composition Principle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29.5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314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182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专业课程</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31250031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Web技术基础</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Web Technology Foundation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31250341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程序设计案例实践</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Programming Case Training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31250981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Linux系统应用</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Linux System Application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31250001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软件质量保证与测试</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Software Quality Assurance and Testing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31251250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面向对象分析与设计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Object-Oriented Analysis and Design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校企合作课,主要专业实验课,专业核心课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31111010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软件项目管理与团队建设</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Software Project Management and Team Building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校企合作课,主要专业实验课,专业核心课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31250110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专业文献阅读与写作</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Professional Literature Reading and Writing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31250330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软件工程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Software Engineering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25</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限选</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33250021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Java开发进阶</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Advanced Java development</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33250330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前端全栈开发技术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Front end full stack development technology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书证融通课,专创融合课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33250200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Java EE企业级开发</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JavaEE Enterprise-level Development</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书证融通课,校企合作课,专创融合课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互联网应用开发</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192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任选</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34250100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算法分析与设计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Design and Analysis of Algorithms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34250112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三维建模与造型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3D Modeling and Modeling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34250121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UV贴图技术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UV mapping technology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34250371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大型数据库</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Large-Scale Database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34251071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Python及应用</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Python and Application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34250010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信息安全技术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Information security technology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kern w:val="0"/>
                <w:sz w:val="18"/>
                <w:szCs w:val="18"/>
              </w:rPr>
              <w:t>34270440</w:t>
            </w:r>
          </w:p>
        </w:tc>
        <w:tc>
          <w:tcPr>
            <w:tcW w:w="2229" w:type="dxa"/>
            <w:tcMar>
              <w:left w:w="0" w:type="dxa"/>
              <w:right w:w="0" w:type="dxa"/>
            </w:tcMar>
            <w:vAlign w:val="center"/>
          </w:tcPr>
          <w:p>
            <w:pPr>
              <w:spacing w:line="240" w:lineRule="exact"/>
              <w:jc w:val="center"/>
              <w:rPr>
                <w:rFonts w:hint="eastAsia" w:eastAsia="宋体" w:cs="宋体"/>
                <w:kern w:val="0"/>
                <w:sz w:val="18"/>
                <w:szCs w:val="18"/>
              </w:rPr>
            </w:pPr>
            <w:r>
              <w:rPr>
                <w:rFonts w:hint="eastAsia" w:eastAsia="宋体" w:cs="宋体"/>
                <w:kern w:val="0"/>
                <w:sz w:val="18"/>
                <w:szCs w:val="18"/>
              </w:rPr>
              <w:tab/>
            </w:r>
            <w:r>
              <w:rPr>
                <w:rFonts w:hint="eastAsia" w:eastAsia="宋体" w:cs="宋体"/>
                <w:kern w:val="0"/>
                <w:sz w:val="18"/>
                <w:szCs w:val="18"/>
              </w:rPr>
              <w:t>企业资源规划ERP</w:t>
            </w:r>
          </w:p>
          <w:p>
            <w:pPr>
              <w:pStyle w:val="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宋体"/>
                <w:kern w:val="0"/>
                <w:sz w:val="18"/>
                <w:szCs w:val="18"/>
                <w:lang w:val="en-US" w:eastAsia="zh-CN" w:bidi="ar-SA"/>
              </w:rPr>
              <w:t>Enterprise Resource Planning (ERP)</w:t>
            </w:r>
          </w:p>
        </w:tc>
        <w:tc>
          <w:tcPr>
            <w:tcW w:w="547" w:type="dxa"/>
            <w:tcMar>
              <w:left w:w="0" w:type="dxa"/>
              <w:right w:w="0" w:type="dxa"/>
            </w:tcMar>
            <w:vAlign w:val="center"/>
          </w:tcPr>
          <w:p>
            <w:pPr>
              <w:widowControl/>
              <w:spacing w:line="240" w:lineRule="exact"/>
              <w:jc w:val="center"/>
              <w:rPr>
                <w:rFonts w:hint="eastAsia" w:ascii="Times New Roman" w:hAnsi="Times New Roman" w:eastAsia="仿宋_GB2312" w:cs="Times New Roman"/>
                <w:kern w:val="0"/>
                <w:sz w:val="18"/>
                <w:szCs w:val="18"/>
                <w:lang w:val="en-US" w:eastAsia="zh-CN" w:bidi="ar-SA"/>
              </w:rPr>
            </w:pPr>
            <w:r>
              <w:rPr>
                <w:rFonts w:hint="eastAsia"/>
                <w:kern w:val="0"/>
                <w:sz w:val="18"/>
                <w:szCs w:val="18"/>
                <w:lang w:val="en-US" w:eastAsia="zh-CN"/>
              </w:rPr>
              <w:t>6</w:t>
            </w:r>
          </w:p>
        </w:tc>
        <w:tc>
          <w:tcPr>
            <w:tcW w:w="547" w:type="dxa"/>
            <w:tcMar>
              <w:left w:w="0" w:type="dxa"/>
              <w:right w:w="0" w:type="dxa"/>
            </w:tcMar>
            <w:vAlign w:val="center"/>
          </w:tcPr>
          <w:p>
            <w:pPr>
              <w:widowControl/>
              <w:spacing w:line="240" w:lineRule="exact"/>
              <w:jc w:val="center"/>
              <w:rPr>
                <w:rFonts w:hint="default" w:ascii="Times New Roman" w:hAnsi="Times New Roman" w:eastAsia="仿宋_GB2312" w:cs="Times New Roman"/>
                <w:kern w:val="0"/>
                <w:sz w:val="18"/>
                <w:szCs w:val="18"/>
                <w:lang w:val="en-US" w:eastAsia="zh-CN" w:bidi="ar-SA"/>
              </w:rPr>
            </w:pPr>
            <w:r>
              <w:rPr>
                <w:rFonts w:hint="eastAsia"/>
                <w:kern w:val="0"/>
                <w:sz w:val="18"/>
                <w:szCs w:val="18"/>
                <w:lang w:val="en-US" w:eastAsia="zh-CN"/>
              </w:rPr>
              <w:t>2.0</w:t>
            </w:r>
          </w:p>
        </w:tc>
        <w:tc>
          <w:tcPr>
            <w:tcW w:w="547" w:type="dxa"/>
            <w:tcMar>
              <w:left w:w="0" w:type="dxa"/>
              <w:right w:w="0" w:type="dxa"/>
            </w:tcMar>
            <w:vAlign w:val="center"/>
          </w:tcPr>
          <w:p>
            <w:pPr>
              <w:widowControl/>
              <w:spacing w:line="240" w:lineRule="exact"/>
              <w:jc w:val="center"/>
              <w:rPr>
                <w:rFonts w:hint="default" w:ascii="Times New Roman" w:hAnsi="Times New Roman" w:eastAsia="仿宋_GB2312" w:cs="Times New Roman"/>
                <w:kern w:val="0"/>
                <w:sz w:val="18"/>
                <w:szCs w:val="18"/>
                <w:lang w:val="en-US" w:eastAsia="zh-CN" w:bidi="ar-SA"/>
              </w:rPr>
            </w:pPr>
            <w:r>
              <w:rPr>
                <w:rFonts w:hint="eastAsia"/>
                <w:kern w:val="0"/>
                <w:sz w:val="18"/>
                <w:szCs w:val="18"/>
                <w:lang w:val="en-US" w:eastAsia="zh-CN"/>
              </w:rPr>
              <w:t>32</w:t>
            </w:r>
          </w:p>
        </w:tc>
        <w:tc>
          <w:tcPr>
            <w:tcW w:w="547" w:type="dxa"/>
            <w:tcMar>
              <w:left w:w="0" w:type="dxa"/>
              <w:right w:w="0" w:type="dxa"/>
            </w:tcMar>
            <w:vAlign w:val="center"/>
          </w:tcPr>
          <w:p>
            <w:pPr>
              <w:widowControl/>
              <w:spacing w:line="240" w:lineRule="exact"/>
              <w:jc w:val="center"/>
              <w:rPr>
                <w:rFonts w:hint="default" w:ascii="Times New Roman" w:hAnsi="Times New Roman" w:eastAsia="仿宋_GB2312" w:cs="Times New Roman"/>
                <w:kern w:val="0"/>
                <w:sz w:val="18"/>
                <w:szCs w:val="18"/>
                <w:lang w:val="en-US" w:eastAsia="zh-CN" w:bidi="ar-SA"/>
              </w:rPr>
            </w:pPr>
            <w:r>
              <w:rPr>
                <w:rFonts w:hint="eastAsia"/>
                <w:kern w:val="0"/>
                <w:sz w:val="18"/>
                <w:szCs w:val="18"/>
                <w:lang w:val="en-US" w:eastAsia="zh-CN"/>
              </w:rPr>
              <w:t>16</w:t>
            </w:r>
          </w:p>
        </w:tc>
        <w:tc>
          <w:tcPr>
            <w:tcW w:w="547" w:type="dxa"/>
            <w:tcMar>
              <w:left w:w="0" w:type="dxa"/>
              <w:right w:w="0" w:type="dxa"/>
            </w:tcMar>
            <w:vAlign w:val="center"/>
          </w:tcPr>
          <w:p>
            <w:pPr>
              <w:widowControl/>
              <w:spacing w:line="240" w:lineRule="exact"/>
              <w:jc w:val="center"/>
              <w:rPr>
                <w:rFonts w:hint="default" w:ascii="Times New Roman" w:hAnsi="Times New Roman" w:eastAsia="仿宋_GB2312" w:cs="Times New Roman"/>
                <w:kern w:val="0"/>
                <w:sz w:val="18"/>
                <w:szCs w:val="18"/>
                <w:lang w:val="en-US" w:eastAsia="zh-CN" w:bidi="ar-SA"/>
              </w:rPr>
            </w:pPr>
            <w:r>
              <w:rPr>
                <w:rFonts w:hint="eastAsia"/>
                <w:kern w:val="0"/>
                <w:sz w:val="18"/>
                <w:szCs w:val="18"/>
                <w:lang w:val="en-US" w:eastAsia="zh-CN"/>
              </w:rPr>
              <w:t>16</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hint="eastAsia" w:ascii="Times New Roman" w:hAnsi="Times New Roman" w:eastAsia="仿宋_GB2312" w:cs="Times New Roman"/>
                <w:kern w:val="0"/>
                <w:sz w:val="18"/>
                <w:szCs w:val="18"/>
                <w:lang w:val="en-US" w:eastAsia="zh-CN" w:bidi="ar-SA"/>
              </w:rPr>
            </w:pPr>
            <w:r>
              <w:rPr>
                <w:rFonts w:hint="eastAsia"/>
                <w:kern w:val="0"/>
                <w:sz w:val="18"/>
                <w:szCs w:val="18"/>
                <w:lang w:val="en-US" w:eastAsia="zh-CN"/>
              </w:rPr>
              <w:t>2</w:t>
            </w:r>
          </w:p>
        </w:tc>
        <w:tc>
          <w:tcPr>
            <w:tcW w:w="551" w:type="dxa"/>
            <w:tcMar>
              <w:left w:w="0" w:type="dxa"/>
              <w:right w:w="0" w:type="dxa"/>
            </w:tcMar>
            <w:vAlign w:val="center"/>
          </w:tcPr>
          <w:p>
            <w:pPr>
              <w:widowControl/>
              <w:spacing w:line="240" w:lineRule="exact"/>
              <w:jc w:val="center"/>
              <w:rPr>
                <w:rFonts w:hint="eastAsia" w:ascii="Times New Roman" w:hAnsi="Times New Roman" w:eastAsia="仿宋_GB2312" w:cs="Times New Roman"/>
                <w:kern w:val="0"/>
                <w:sz w:val="18"/>
                <w:szCs w:val="18"/>
                <w:lang w:val="en-US" w:eastAsia="zh-CN" w:bidi="ar-SA"/>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p>
        </w:tc>
        <w:tc>
          <w:tcPr>
            <w:tcW w:w="741" w:type="dxa"/>
            <w:tcMar>
              <w:left w:w="0" w:type="dxa"/>
              <w:right w:w="0" w:type="dxa"/>
            </w:tcMar>
            <w:vAlign w:val="center"/>
          </w:tcPr>
          <w:p>
            <w:pPr>
              <w:widowControl/>
              <w:spacing w:line="240" w:lineRule="exact"/>
              <w:jc w:val="center"/>
              <w:rPr>
                <w:rFonts w:hint="eastAsia"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34250060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编译原理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Principles of Compiler</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34250090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移动应用开发</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Mobile application development</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34250131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Unreal engine虚拟现实开发</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Unreal engine virtual reality development</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34250370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大数据平台技术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Big Data Platform Technology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34250410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软件测试进阶</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Advanced Software Testing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34271280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深度学习与神经网络</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Deep Learning And Neural Networks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07" w:type="dxa"/>
            <w:gridSpan w:val="4"/>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合计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135.5</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2336</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1568</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570</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108</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162</w:t>
            </w: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0" w:type="dxa"/>
            <w:vAlign w:val="center"/>
          </w:tcPr>
          <w:p>
            <w:pPr>
              <w:widowControl/>
              <w:spacing w:line="240" w:lineRule="exact"/>
              <w:jc w:val="center"/>
              <w:rPr>
                <w:rFonts w:ascii="仿宋_GB2312" w:hAnsi="仿宋_GB2312" w:cs="仿宋_GB2312"/>
                <w:kern w:val="0"/>
                <w:sz w:val="18"/>
                <w:szCs w:val="18"/>
              </w:rPr>
            </w:pPr>
          </w:p>
        </w:tc>
        <w:tc>
          <w:tcPr>
            <w:tcW w:w="741" w:type="dxa"/>
            <w:vAlign w:val="center"/>
          </w:tcPr>
          <w:p>
            <w:pPr>
              <w:widowControl/>
              <w:spacing w:line="240" w:lineRule="exact"/>
              <w:jc w:val="center"/>
              <w:rPr>
                <w:rFonts w:ascii="仿宋_GB2312" w:hAnsi="仿宋_GB2312" w:cs="仿宋_GB2312"/>
                <w:kern w:val="0"/>
                <w:sz w:val="18"/>
                <w:szCs w:val="18"/>
              </w:rPr>
            </w:pPr>
          </w:p>
        </w:tc>
      </w:tr>
    </w:tbl>
    <w:p>
      <w:pPr>
        <w:pStyle w:val="2"/>
        <w:spacing w:after="0" w:line="420" w:lineRule="exact"/>
        <w:ind w:hanging="8"/>
        <w:rPr>
          <w:rFonts w:ascii="仿宋_GB2312" w:hAnsi="仿宋_GB2312" w:eastAsia="仿宋_GB2312" w:cs="仿宋_GB2312"/>
          <w:sz w:val="24"/>
        </w:rPr>
      </w:pPr>
      <w:r>
        <w:rPr>
          <w:rFonts w:hint="eastAsia" w:ascii="仿宋_GB2312" w:hAnsi="仿宋_GB2312" w:eastAsia="仿宋_GB2312" w:cs="仿宋_GB2312"/>
          <w:sz w:val="24"/>
        </w:rPr>
        <w:t>备注：</w:t>
      </w:r>
    </w:p>
    <w:p>
      <w:pPr>
        <w:pStyle w:val="2"/>
        <w:spacing w:after="0" w:line="420" w:lineRule="exact"/>
        <w:ind w:left="14" w:firstLine="451" w:firstLineChars="188"/>
        <w:rPr>
          <w:rFonts w:ascii="仿宋_GB2312" w:hAnsi="仿宋_GB2312" w:eastAsia="仿宋_GB2312" w:cs="仿宋_GB2312"/>
          <w:sz w:val="24"/>
        </w:rPr>
      </w:pPr>
      <w:r>
        <w:rPr>
          <w:rFonts w:hint="eastAsia" w:ascii="仿宋_GB2312" w:hAnsi="仿宋_GB2312" w:eastAsia="仿宋_GB2312" w:cs="仿宋_GB2312"/>
          <w:sz w:val="24"/>
        </w:rPr>
        <w:t>1.本专业适合学生考取职业资格证书有：Web前端开发（高级）、JAVA应用开发职业技能等级证书（中级）、全国计算机软件职业资格（水平）考试</w:t>
      </w:r>
    </w:p>
    <w:p>
      <w:pPr>
        <w:pStyle w:val="2"/>
        <w:spacing w:after="0" w:line="420" w:lineRule="exact"/>
        <w:ind w:left="14" w:firstLine="451" w:firstLineChars="188"/>
        <w:rPr>
          <w:rFonts w:ascii="仿宋_GB2312" w:hAnsi="仿宋_GB2312" w:eastAsia="仿宋_GB2312" w:cs="仿宋_GB2312"/>
          <w:sz w:val="24"/>
        </w:rPr>
      </w:pPr>
      <w:r>
        <w:rPr>
          <w:rFonts w:hint="eastAsia" w:ascii="仿宋_GB2312" w:eastAsia="仿宋_GB2312"/>
          <w:sz w:val="24"/>
        </w:rPr>
        <w:t>2.校企合作课程5门15.0学分</w:t>
      </w:r>
      <w:r>
        <w:rPr>
          <w:rFonts w:hint="eastAsia" w:ascii="仿宋_GB2312" w:eastAsia="仿宋_GB2312"/>
          <w:sz w:val="24"/>
          <w:lang w:eastAsia="zh-CN"/>
        </w:rPr>
        <w:t>（</w:t>
      </w:r>
      <w:r>
        <w:rPr>
          <w:rFonts w:hint="eastAsia" w:ascii="仿宋_GB2312" w:eastAsia="仿宋_GB2312"/>
          <w:sz w:val="24"/>
          <w:lang w:val="en-US" w:eastAsia="zh-CN"/>
        </w:rPr>
        <w:t>包含2门集中实践课</w:t>
      </w:r>
      <w:r>
        <w:rPr>
          <w:rFonts w:hint="eastAsia" w:ascii="仿宋_GB2312" w:eastAsia="仿宋_GB2312"/>
          <w:sz w:val="24"/>
          <w:lang w:eastAsia="zh-CN"/>
        </w:rPr>
        <w:t>）</w:t>
      </w:r>
      <w:r>
        <w:rPr>
          <w:rFonts w:hint="eastAsia" w:ascii="仿宋_GB2312" w:eastAsia="仿宋_GB2312"/>
          <w:sz w:val="24"/>
        </w:rPr>
        <w:t>，专创融合课程5门16.5学分。</w:t>
      </w:r>
    </w:p>
    <w:p>
      <w:pPr>
        <w:pStyle w:val="4"/>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八、集中实践课程教学计划表</w:t>
      </w:r>
    </w:p>
    <w:tbl>
      <w:tblPr>
        <w:tblStyle w:val="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82"/>
        <w:gridCol w:w="2440"/>
        <w:gridCol w:w="720"/>
        <w:gridCol w:w="667"/>
        <w:gridCol w:w="692"/>
        <w:gridCol w:w="709"/>
        <w:gridCol w:w="1134"/>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1982" w:type="dxa"/>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课程代码</w:t>
            </w:r>
          </w:p>
        </w:tc>
        <w:tc>
          <w:tcPr>
            <w:tcW w:w="2440" w:type="dxa"/>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课程名称</w:t>
            </w:r>
          </w:p>
        </w:tc>
        <w:tc>
          <w:tcPr>
            <w:tcW w:w="720"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学期</w:t>
            </w:r>
          </w:p>
        </w:tc>
        <w:tc>
          <w:tcPr>
            <w:tcW w:w="667"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692"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修读</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性质</w:t>
            </w:r>
          </w:p>
        </w:tc>
        <w:tc>
          <w:tcPr>
            <w:tcW w:w="709"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安排</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周数</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标识</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41530010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军事技能</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Military Skills</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1</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2.0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3</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保卫处（人民武装部）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41250320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专业认知实习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Professional Cognitive Practice</w:t>
            </w:r>
          </w:p>
        </w:tc>
        <w:tc>
          <w:tcPr>
            <w:tcW w:w="720" w:type="dxa"/>
            <w:vAlign w:val="center"/>
          </w:tcPr>
          <w:p>
            <w:pPr>
              <w:pStyle w:val="2"/>
              <w:spacing w:after="0" w:line="320" w:lineRule="exact"/>
              <w:jc w:val="center"/>
              <w:rPr>
                <w:rFonts w:hint="default" w:ascii="仿宋_GB2312" w:hAnsi="仿宋_GB2312" w:eastAsia="仿宋_GB2312" w:cs="仿宋_GB2312"/>
                <w:kern w:val="0"/>
                <w:sz w:val="18"/>
                <w:szCs w:val="18"/>
                <w:lang w:val="en-US" w:eastAsia="zh-CN"/>
              </w:rPr>
            </w:pPr>
            <w:r>
              <w:rPr>
                <w:rFonts w:eastAsia="仿宋_GB2312"/>
                <w:kern w:val="0"/>
                <w:sz w:val="18"/>
                <w:szCs w:val="18"/>
              </w:rPr>
              <w:t>2</w:t>
            </w:r>
            <w:r>
              <w:rPr>
                <w:rFonts w:hint="eastAsia" w:eastAsia="仿宋_GB2312"/>
                <w:kern w:val="0"/>
                <w:sz w:val="18"/>
                <w:szCs w:val="18"/>
                <w:lang w:val="en-US" w:eastAsia="zh-CN"/>
              </w:rPr>
              <w:t>+暑</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小学期课程,专业实习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41251330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数据结构课程设计</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Data Structure Curriculum Design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3</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41251340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数据库课程设计</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Database Curriculum Design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3</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41620020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毛泽东思想和中国特色社会主义理论体系概论实践</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Maoism and Practice of An Introduction to the Theoretical System of Socialism with Chinese Characteristics</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4</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41250181</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工程化项目训练（互联网应用开发）</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Engineering Project Training(Internet Application Development)</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6</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2.0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4</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校企合作课,专创融合课,专业实训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41250031</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企业实训（互联网应用开发）</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Enterprise Practical Training Internet Application Development)</w:t>
            </w:r>
          </w:p>
        </w:tc>
        <w:tc>
          <w:tcPr>
            <w:tcW w:w="720" w:type="dxa"/>
            <w:vAlign w:val="center"/>
          </w:tcPr>
          <w:p>
            <w:pPr>
              <w:pStyle w:val="2"/>
              <w:spacing w:after="0" w:line="320" w:lineRule="exact"/>
              <w:jc w:val="center"/>
              <w:rPr>
                <w:rFonts w:hint="default" w:ascii="仿宋_GB2312" w:hAnsi="仿宋_GB2312" w:eastAsia="仿宋_GB2312" w:cs="仿宋_GB2312"/>
                <w:kern w:val="0"/>
                <w:sz w:val="18"/>
                <w:szCs w:val="18"/>
                <w:lang w:val="en-US" w:eastAsia="zh-CN"/>
              </w:rPr>
            </w:pPr>
            <w:r>
              <w:rPr>
                <w:rFonts w:eastAsia="仿宋_GB2312"/>
                <w:kern w:val="0"/>
                <w:sz w:val="18"/>
                <w:szCs w:val="18"/>
              </w:rPr>
              <w:t>7</w:t>
            </w:r>
            <w:r>
              <w:rPr>
                <w:rFonts w:hint="eastAsia" w:eastAsia="仿宋_GB2312"/>
                <w:kern w:val="0"/>
                <w:sz w:val="18"/>
                <w:szCs w:val="18"/>
                <w:lang w:val="en-US" w:eastAsia="zh-CN"/>
              </w:rPr>
              <w:t>+暑</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4.0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8</w:t>
            </w:r>
          </w:p>
        </w:tc>
        <w:tc>
          <w:tcPr>
            <w:tcW w:w="1134" w:type="dxa"/>
            <w:tcMar>
              <w:left w:w="0" w:type="dxa"/>
              <w:right w:w="0" w:type="dxa"/>
            </w:tcMar>
            <w:vAlign w:val="center"/>
          </w:tcPr>
          <w:p>
            <w:pPr>
              <w:pStyle w:val="2"/>
              <w:spacing w:after="0" w:line="32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小学期课程,校企合作课,专创融合课,专业实习,</w:t>
            </w:r>
            <w:r>
              <w:rPr>
                <w:rFonts w:hint="eastAsia" w:ascii="仿宋_GB2312" w:hAnsi="仿宋_GB2312" w:eastAsia="仿宋_GB2312" w:cs="仿宋_GB2312"/>
                <w:kern w:val="0"/>
                <w:sz w:val="18"/>
                <w:szCs w:val="18"/>
                <w:lang w:val="en-US" w:eastAsia="zh-CN"/>
              </w:rPr>
              <w:t>生产性课程</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41250330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毕业实习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Graduation Practice</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7</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4.0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8</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41250100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SPEC计划</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SPEC Program</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8</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书证融通课</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41251230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毕业论文（设计）</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Graduation Thesis(Design)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8</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7.0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14</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4422" w:type="dxa"/>
            <w:gridSpan w:val="2"/>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Cs w:val="21"/>
              </w:rPr>
              <w:t>合计</w:t>
            </w:r>
          </w:p>
        </w:tc>
        <w:tc>
          <w:tcPr>
            <w:tcW w:w="720" w:type="dxa"/>
            <w:vAlign w:val="center"/>
          </w:tcPr>
          <w:p>
            <w:pPr>
              <w:pStyle w:val="2"/>
              <w:snapToGrid w:val="0"/>
              <w:spacing w:after="0"/>
              <w:jc w:val="center"/>
              <w:rPr>
                <w:rFonts w:ascii="仿宋_GB2312" w:hAnsi="仿宋_GB2312" w:eastAsia="仿宋_GB2312" w:cs="仿宋_GB2312"/>
                <w:kern w:val="0"/>
                <w:sz w:val="18"/>
                <w:szCs w:val="18"/>
              </w:rPr>
            </w:pPr>
          </w:p>
        </w:tc>
        <w:tc>
          <w:tcPr>
            <w:tcW w:w="667" w:type="dxa"/>
            <w:vAlign w:val="center"/>
          </w:tcPr>
          <w:p>
            <w:pPr>
              <w:pStyle w:val="2"/>
              <w:snapToGrid w:val="0"/>
              <w:spacing w:after="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23</w:t>
            </w:r>
          </w:p>
        </w:tc>
        <w:tc>
          <w:tcPr>
            <w:tcW w:w="692" w:type="dxa"/>
            <w:vAlign w:val="center"/>
          </w:tcPr>
          <w:p>
            <w:pPr>
              <w:pStyle w:val="2"/>
              <w:snapToGrid w:val="0"/>
              <w:spacing w:after="0"/>
              <w:jc w:val="center"/>
              <w:rPr>
                <w:rFonts w:ascii="仿宋_GB2312" w:hAnsi="仿宋_GB2312" w:eastAsia="仿宋_GB2312" w:cs="仿宋_GB2312"/>
                <w:kern w:val="0"/>
                <w:sz w:val="18"/>
                <w:szCs w:val="18"/>
              </w:rPr>
            </w:pPr>
          </w:p>
        </w:tc>
        <w:tc>
          <w:tcPr>
            <w:tcW w:w="709" w:type="dxa"/>
            <w:vAlign w:val="center"/>
          </w:tcPr>
          <w:p>
            <w:pPr>
              <w:pStyle w:val="2"/>
              <w:snapToGrid w:val="0"/>
              <w:spacing w:after="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42</w:t>
            </w:r>
          </w:p>
        </w:tc>
        <w:tc>
          <w:tcPr>
            <w:tcW w:w="1134" w:type="dxa"/>
            <w:vAlign w:val="center"/>
          </w:tcPr>
          <w:p>
            <w:pPr>
              <w:pStyle w:val="2"/>
              <w:snapToGrid w:val="0"/>
              <w:spacing w:after="0"/>
              <w:jc w:val="center"/>
              <w:rPr>
                <w:rFonts w:ascii="仿宋_GB2312" w:hAnsi="仿宋_GB2312" w:eastAsia="仿宋_GB2312" w:cs="仿宋_GB2312"/>
                <w:kern w:val="0"/>
                <w:sz w:val="18"/>
                <w:szCs w:val="18"/>
              </w:rPr>
            </w:pPr>
          </w:p>
        </w:tc>
        <w:tc>
          <w:tcPr>
            <w:tcW w:w="1605" w:type="dxa"/>
            <w:vAlign w:val="center"/>
          </w:tcPr>
          <w:p>
            <w:pPr>
              <w:pStyle w:val="2"/>
              <w:snapToGrid w:val="0"/>
              <w:spacing w:after="0"/>
              <w:jc w:val="center"/>
              <w:rPr>
                <w:rFonts w:ascii="仿宋_GB2312" w:hAnsi="仿宋_GB2312" w:eastAsia="仿宋_GB2312" w:cs="仿宋_GB2312"/>
                <w:kern w:val="0"/>
                <w:sz w:val="18"/>
                <w:szCs w:val="18"/>
              </w:rPr>
            </w:pPr>
          </w:p>
        </w:tc>
      </w:tr>
    </w:tbl>
    <w:p>
      <w:pPr>
        <w:pStyle w:val="2"/>
        <w:spacing w:after="0" w:line="420" w:lineRule="exact"/>
        <w:rPr>
          <w:rFonts w:hint="eastAsia" w:ascii="仿宋_GB2312" w:hAnsi="仿宋_GB2312" w:eastAsia="仿宋_GB2312" w:cs="仿宋_GB2312"/>
          <w:sz w:val="24"/>
        </w:rPr>
      </w:pPr>
      <w:r>
        <w:rPr>
          <w:rFonts w:hint="eastAsia" w:ascii="仿宋_GB2312" w:hAnsi="仿宋_GB2312" w:eastAsia="仿宋_GB2312" w:cs="仿宋_GB2312"/>
          <w:sz w:val="24"/>
        </w:rPr>
        <w:t>备注：</w:t>
      </w:r>
    </w:p>
    <w:p>
      <w:pPr>
        <w:pStyle w:val="2"/>
        <w:spacing w:after="0" w:line="420" w:lineRule="exact"/>
        <w:ind w:left="14" w:firstLine="451" w:firstLineChars="188"/>
        <w:rPr>
          <w:rFonts w:hint="eastAsia" w:ascii="仿宋_GB2312" w:hAnsi="仿宋_GB2312" w:eastAsia="仿宋_GB2312" w:cs="仿宋_GB2312"/>
          <w:sz w:val="24"/>
        </w:rPr>
      </w:pPr>
      <w:r>
        <w:rPr>
          <w:rFonts w:hint="eastAsia" w:ascii="仿宋_GB2312" w:hAnsi="仿宋_GB2312" w:eastAsia="仿宋_GB2312" w:cs="仿宋_GB2312"/>
          <w:sz w:val="24"/>
        </w:rPr>
        <w:t>1.《专业认知实习》计划在暑假安排1周。</w:t>
      </w:r>
    </w:p>
    <w:p>
      <w:pPr>
        <w:pStyle w:val="2"/>
        <w:spacing w:after="0" w:line="420" w:lineRule="exact"/>
        <w:ind w:left="14" w:firstLine="451" w:firstLineChars="188"/>
        <w:rPr>
          <w:rFonts w:hint="eastAsia" w:ascii="仿宋_GB2312" w:hAnsi="仿宋_GB2312" w:eastAsia="仿宋_GB2312" w:cs="仿宋_GB2312"/>
          <w:sz w:val="24"/>
        </w:rPr>
      </w:pPr>
      <w:r>
        <w:rPr>
          <w:rFonts w:hint="eastAsia" w:ascii="仿宋_GB2312" w:hAnsi="仿宋_GB2312" w:eastAsia="仿宋_GB2312" w:cs="仿宋_GB2312"/>
          <w:sz w:val="24"/>
        </w:rPr>
        <w:t>2.《企业实训（互联网应用开发）》计划安排</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周，暑假安排</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周。</w:t>
      </w:r>
    </w:p>
    <w:p>
      <w:pPr>
        <w:pStyle w:val="2"/>
        <w:spacing w:line="420" w:lineRule="exact"/>
        <w:ind w:firstLine="480" w:firstLineChars="200"/>
        <w:rPr>
          <w:rFonts w:ascii="Times New Roman" w:hAnsi="Times New Roman"/>
          <w:sz w:val="24"/>
        </w:rPr>
      </w:pPr>
      <w:r>
        <w:rPr>
          <w:rFonts w:hint="eastAsia" w:ascii="Times New Roman" w:hAnsi="Times New Roman"/>
          <w:sz w:val="24"/>
        </w:rPr>
        <w:t>2.</w:t>
      </w:r>
      <w:r>
        <w:rPr>
          <w:rFonts w:ascii="Times New Roman" w:hAnsi="Times New Roman"/>
          <w:sz w:val="24"/>
        </w:rPr>
        <w:t>《生产实习》</w:t>
      </w:r>
      <w:r>
        <w:rPr>
          <w:rFonts w:hint="eastAsia" w:ascii="Times New Roman" w:hAnsi="Times New Roman"/>
          <w:sz w:val="24"/>
        </w:rPr>
        <w:t>计划</w:t>
      </w:r>
      <w:r>
        <w:rPr>
          <w:rFonts w:ascii="Times New Roman" w:hAnsi="Times New Roman"/>
          <w:sz w:val="24"/>
        </w:rPr>
        <w:t>安排</w:t>
      </w:r>
      <w:r>
        <w:rPr>
          <w:rFonts w:hint="eastAsia" w:ascii="Times New Roman" w:hAnsi="Times New Roman"/>
          <w:sz w:val="24"/>
        </w:rPr>
        <w:t>6周，其中第7学期安排2周，暑假安排4周。</w:t>
      </w:r>
      <w:r>
        <w:rPr>
          <w:rFonts w:hint="eastAsia" w:ascii="Times New Roman" w:hAnsi="Times New Roman"/>
          <w:color w:val="0000FF"/>
          <w:sz w:val="24"/>
        </w:rPr>
        <w:t>（对应以下说明二的第1.（2）种组织形式）</w:t>
      </w:r>
    </w:p>
    <w:p>
      <w:pPr>
        <w:pStyle w:val="2"/>
        <w:spacing w:line="420" w:lineRule="exact"/>
        <w:ind w:firstLine="480" w:firstLineChars="200"/>
        <w:rPr>
          <w:rFonts w:hint="eastAsia" w:ascii="Times New Roman" w:hAnsi="Times New Roman"/>
          <w:sz w:val="24"/>
        </w:rPr>
      </w:pPr>
      <w:r>
        <w:rPr>
          <w:rFonts w:hint="eastAsia" w:ascii="Times New Roman" w:hAnsi="Times New Roman"/>
          <w:sz w:val="24"/>
        </w:rPr>
        <w:t>3.</w:t>
      </w:r>
      <w:r>
        <w:rPr>
          <w:rFonts w:ascii="Times New Roman" w:hAnsi="Times New Roman"/>
          <w:sz w:val="24"/>
        </w:rPr>
        <w:t>《</w:t>
      </w:r>
      <w:r>
        <w:rPr>
          <w:rFonts w:hint="eastAsia" w:ascii="Times New Roman" w:hAnsi="Times New Roman"/>
          <w:sz w:val="24"/>
        </w:rPr>
        <w:t>毕业</w:t>
      </w:r>
      <w:r>
        <w:rPr>
          <w:rFonts w:ascii="Times New Roman" w:hAnsi="Times New Roman"/>
          <w:sz w:val="24"/>
        </w:rPr>
        <w:t>实习》</w:t>
      </w:r>
      <w:r>
        <w:rPr>
          <w:rFonts w:hint="eastAsia" w:ascii="Times New Roman" w:hAnsi="Times New Roman"/>
          <w:sz w:val="24"/>
        </w:rPr>
        <w:t>计划</w:t>
      </w:r>
      <w:r>
        <w:rPr>
          <w:rFonts w:ascii="Times New Roman" w:hAnsi="Times New Roman"/>
          <w:sz w:val="24"/>
        </w:rPr>
        <w:t>安排</w:t>
      </w:r>
      <w:r>
        <w:rPr>
          <w:rFonts w:hint="eastAsia" w:ascii="Times New Roman" w:hAnsi="Times New Roman"/>
          <w:sz w:val="24"/>
        </w:rPr>
        <w:t>4周，其中寒假安排2周，第8学期安排2周。</w:t>
      </w:r>
      <w:r>
        <w:rPr>
          <w:rFonts w:hint="eastAsia" w:ascii="Times New Roman" w:hAnsi="Times New Roman"/>
          <w:color w:val="0000FF"/>
          <w:sz w:val="24"/>
        </w:rPr>
        <w:t>（对应以下说明二的第1.（3）种组织形式）</w:t>
      </w:r>
    </w:p>
    <w:p>
      <w:pPr>
        <w:pStyle w:val="2"/>
        <w:spacing w:after="0" w:line="420" w:lineRule="exact"/>
        <w:ind w:left="14" w:firstLine="451" w:firstLineChars="188"/>
        <w:rPr>
          <w:rFonts w:hint="eastAsia" w:ascii="仿宋_GB2312" w:hAnsi="仿宋_GB2312" w:eastAsia="仿宋_GB2312" w:cs="仿宋_GB2312"/>
          <w:sz w:val="24"/>
        </w:rPr>
      </w:pPr>
    </w:p>
    <w:p>
      <w:pPr>
        <w:spacing w:line="460" w:lineRule="exact"/>
        <w:ind w:firstLine="560" w:firstLineChars="200"/>
        <w:rPr>
          <w:rFonts w:eastAsia="黑体"/>
          <w:bCs/>
          <w:color w:val="000000"/>
          <w:sz w:val="28"/>
          <w:szCs w:val="28"/>
        </w:rPr>
      </w:pPr>
      <w:r>
        <w:rPr>
          <w:rFonts w:hint="eastAsia" w:eastAsia="黑体"/>
          <w:bCs/>
          <w:color w:val="000000"/>
          <w:sz w:val="28"/>
          <w:szCs w:val="28"/>
        </w:rPr>
        <w:t>九、第二课堂教育教学安排表</w:t>
      </w:r>
    </w:p>
    <w:tbl>
      <w:tblPr>
        <w:tblStyle w:val="7"/>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84"/>
        <w:gridCol w:w="3756"/>
        <w:gridCol w:w="716"/>
        <w:gridCol w:w="1053"/>
        <w:gridCol w:w="101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课程代码</w:t>
            </w:r>
          </w:p>
        </w:tc>
        <w:tc>
          <w:tcPr>
            <w:tcW w:w="3270"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课程名称</w:t>
            </w:r>
          </w:p>
        </w:tc>
        <w:tc>
          <w:tcPr>
            <w:tcW w:w="623"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学分</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修读性质</w:t>
            </w:r>
          </w:p>
        </w:tc>
        <w:tc>
          <w:tcPr>
            <w:tcW w:w="885"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开课</w:t>
            </w:r>
          </w:p>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单位</w:t>
            </w:r>
          </w:p>
        </w:tc>
        <w:tc>
          <w:tcPr>
            <w:tcW w:w="979"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51600021</w:t>
            </w:r>
          </w:p>
        </w:tc>
        <w:tc>
          <w:tcPr>
            <w:tcW w:w="3270"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德育实践</w:t>
            </w:r>
          </w:p>
          <w:p>
            <w:pPr>
              <w:spacing w:line="220" w:lineRule="exact"/>
              <w:jc w:val="center"/>
              <w:rPr>
                <w:rFonts w:ascii="仿宋_GB2312" w:hAnsi="仿宋_GB2312" w:cs="仿宋_GB2312"/>
                <w:color w:val="000000"/>
                <w:sz w:val="21"/>
                <w:szCs w:val="21"/>
              </w:rPr>
            </w:pPr>
            <w:r>
              <w:rPr>
                <w:color w:val="000000"/>
                <w:kern w:val="0"/>
                <w:sz w:val="21"/>
                <w:szCs w:val="21"/>
              </w:rPr>
              <w:t>Moral Education Practice</w:t>
            </w:r>
          </w:p>
        </w:tc>
        <w:tc>
          <w:tcPr>
            <w:tcW w:w="623" w:type="dxa"/>
            <w:vAlign w:val="center"/>
          </w:tcPr>
          <w:p>
            <w:pPr>
              <w:spacing w:line="320" w:lineRule="exact"/>
              <w:jc w:val="center"/>
              <w:rPr>
                <w:color w:val="000000"/>
                <w:sz w:val="21"/>
                <w:szCs w:val="21"/>
              </w:rPr>
            </w:pPr>
            <w:r>
              <w:rPr>
                <w:color w:val="000000"/>
                <w:sz w:val="21"/>
                <w:szCs w:val="21"/>
              </w:rPr>
              <w:t>2.0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restart"/>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三创学院</w:t>
            </w:r>
          </w:p>
        </w:tc>
        <w:tc>
          <w:tcPr>
            <w:tcW w:w="979" w:type="dxa"/>
            <w:vMerge w:val="restart"/>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参照《闽江学院“第二课堂成绩单”制度实施细则（202</w:t>
            </w:r>
            <w:r>
              <w:rPr>
                <w:rFonts w:hint="eastAsia" w:ascii="仿宋_GB2312" w:hAnsi="仿宋_GB2312" w:cs="仿宋_GB2312"/>
                <w:color w:val="000000"/>
                <w:sz w:val="21"/>
                <w:szCs w:val="21"/>
                <w:lang w:val="en-US" w:eastAsia="zh-CN"/>
              </w:rPr>
              <w:t>2</w:t>
            </w:r>
            <w:r>
              <w:rPr>
                <w:rFonts w:hint="eastAsia" w:ascii="仿宋_GB2312" w:hAnsi="仿宋_GB2312" w:cs="仿宋_GB2312"/>
                <w:color w:val="00000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51600031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创新创业教育实践</w:t>
            </w:r>
          </w:p>
          <w:p>
            <w:pPr>
              <w:spacing w:line="220" w:lineRule="exact"/>
              <w:jc w:val="center"/>
              <w:rPr>
                <w:rFonts w:ascii="仿宋_GB2312" w:hAnsi="仿宋_GB2312" w:cs="仿宋_GB2312"/>
                <w:color w:val="000000"/>
                <w:kern w:val="0"/>
                <w:sz w:val="21"/>
                <w:szCs w:val="21"/>
              </w:rPr>
            </w:pPr>
            <w:r>
              <w:rPr>
                <w:color w:val="000000"/>
                <w:kern w:val="0"/>
                <w:sz w:val="21"/>
                <w:szCs w:val="21"/>
              </w:rPr>
              <w:t> Innovation and Entrepreneurship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51600041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体育实践</w:t>
            </w:r>
          </w:p>
          <w:p>
            <w:pPr>
              <w:spacing w:line="220" w:lineRule="exact"/>
              <w:jc w:val="center"/>
              <w:rPr>
                <w:rFonts w:ascii="仿宋_GB2312" w:hAnsi="仿宋_GB2312" w:cs="仿宋_GB2312"/>
                <w:color w:val="000000"/>
                <w:kern w:val="0"/>
                <w:sz w:val="21"/>
                <w:szCs w:val="21"/>
              </w:rPr>
            </w:pPr>
            <w:r>
              <w:rPr>
                <w:color w:val="000000"/>
                <w:kern w:val="0"/>
                <w:sz w:val="21"/>
                <w:szCs w:val="21"/>
              </w:rPr>
              <w:t> Practice In Sports</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51600051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美育实践</w:t>
            </w:r>
          </w:p>
          <w:p>
            <w:pPr>
              <w:spacing w:line="220" w:lineRule="exact"/>
              <w:jc w:val="center"/>
              <w:rPr>
                <w:rFonts w:ascii="仿宋_GB2312" w:hAnsi="仿宋_GB2312" w:cs="仿宋_GB2312"/>
                <w:color w:val="000000"/>
                <w:kern w:val="0"/>
                <w:sz w:val="21"/>
                <w:szCs w:val="21"/>
              </w:rPr>
            </w:pPr>
            <w:r>
              <w:rPr>
                <w:color w:val="000000"/>
                <w:kern w:val="0"/>
                <w:sz w:val="21"/>
                <w:szCs w:val="21"/>
              </w:rPr>
              <w:t> Aesthetic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51600070</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专业教育实践</w:t>
            </w:r>
          </w:p>
          <w:p>
            <w:pPr>
              <w:spacing w:line="220" w:lineRule="exact"/>
              <w:jc w:val="center"/>
              <w:rPr>
                <w:rFonts w:ascii="仿宋_GB2312" w:hAnsi="仿宋_GB2312" w:cs="仿宋_GB2312"/>
                <w:color w:val="000000"/>
                <w:kern w:val="0"/>
                <w:sz w:val="21"/>
                <w:szCs w:val="21"/>
              </w:rPr>
            </w:pPr>
            <w:r>
              <w:rPr>
                <w:color w:val="000000"/>
                <w:kern w:val="0"/>
                <w:sz w:val="21"/>
                <w:szCs w:val="21"/>
              </w:rPr>
              <w:t> Professional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51600090</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劳动教育</w:t>
            </w:r>
          </w:p>
          <w:p>
            <w:pPr>
              <w:spacing w:line="220" w:lineRule="exact"/>
              <w:jc w:val="center"/>
              <w:rPr>
                <w:rFonts w:ascii="仿宋_GB2312" w:hAnsi="仿宋_GB2312" w:cs="仿宋_GB2312"/>
                <w:color w:val="000000"/>
                <w:kern w:val="0"/>
                <w:sz w:val="21"/>
                <w:szCs w:val="21"/>
              </w:rPr>
            </w:pPr>
            <w:r>
              <w:rPr>
                <w:color w:val="000000"/>
                <w:kern w:val="0"/>
                <w:sz w:val="21"/>
                <w:szCs w:val="21"/>
              </w:rPr>
              <w:t> Labor Education</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5259" w:type="dxa"/>
            <w:gridSpan w:val="2"/>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合计</w:t>
            </w:r>
          </w:p>
        </w:tc>
        <w:tc>
          <w:tcPr>
            <w:tcW w:w="623" w:type="dxa"/>
            <w:vAlign w:val="center"/>
          </w:tcPr>
          <w:p>
            <w:pPr>
              <w:snapToGrid w:val="0"/>
              <w:jc w:val="center"/>
              <w:rPr>
                <w:color w:val="000000"/>
                <w:sz w:val="21"/>
                <w:szCs w:val="21"/>
              </w:rPr>
            </w:pPr>
            <w:r>
              <w:rPr>
                <w:color w:val="000000"/>
                <w:sz w:val="21"/>
                <w:szCs w:val="21"/>
              </w:rPr>
              <w:t>7</w:t>
            </w:r>
          </w:p>
        </w:tc>
        <w:tc>
          <w:tcPr>
            <w:tcW w:w="917" w:type="dxa"/>
            <w:vAlign w:val="center"/>
          </w:tcPr>
          <w:p>
            <w:pPr>
              <w:snapToGrid w:val="0"/>
              <w:jc w:val="center"/>
              <w:rPr>
                <w:rFonts w:ascii="仿宋_GB2312" w:hAnsi="仿宋_GB2312" w:cs="仿宋_GB2312"/>
                <w:color w:val="000000"/>
                <w:sz w:val="21"/>
                <w:szCs w:val="21"/>
              </w:rPr>
            </w:pPr>
          </w:p>
        </w:tc>
        <w:tc>
          <w:tcPr>
            <w:tcW w:w="885" w:type="dxa"/>
            <w:vAlign w:val="center"/>
          </w:tcPr>
          <w:p>
            <w:pPr>
              <w:snapToGrid w:val="0"/>
              <w:jc w:val="center"/>
              <w:rPr>
                <w:rFonts w:ascii="仿宋_GB2312" w:hAnsi="仿宋_GB2312" w:cs="仿宋_GB2312"/>
                <w:color w:val="000000"/>
                <w:sz w:val="21"/>
                <w:szCs w:val="21"/>
              </w:rPr>
            </w:pPr>
          </w:p>
        </w:tc>
        <w:tc>
          <w:tcPr>
            <w:tcW w:w="979" w:type="dxa"/>
            <w:vAlign w:val="center"/>
          </w:tcPr>
          <w:p>
            <w:pPr>
              <w:snapToGrid w:val="0"/>
              <w:jc w:val="center"/>
              <w:rPr>
                <w:rFonts w:ascii="仿宋_GB2312" w:hAnsi="仿宋_GB2312" w:cs="仿宋_GB2312"/>
                <w:color w:val="000000"/>
                <w:sz w:val="21"/>
                <w:szCs w:val="21"/>
              </w:rPr>
            </w:pPr>
          </w:p>
        </w:tc>
      </w:tr>
    </w:tbl>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YzU2NTdjMmE5YmE1YmM3ZmVjNTA5YTYwYmQzYzQifQ=="/>
  </w:docVars>
  <w:rsids>
    <w:rsidRoot w:val="599C5BFE"/>
    <w:rsid w:val="00027519"/>
    <w:rsid w:val="007A2979"/>
    <w:rsid w:val="00B607D5"/>
    <w:rsid w:val="00DA6783"/>
    <w:rsid w:val="00E93078"/>
    <w:rsid w:val="010779AC"/>
    <w:rsid w:val="048718F6"/>
    <w:rsid w:val="04E3121C"/>
    <w:rsid w:val="04E9007F"/>
    <w:rsid w:val="04FE71B8"/>
    <w:rsid w:val="05FF6B8B"/>
    <w:rsid w:val="072D29C9"/>
    <w:rsid w:val="07C5376A"/>
    <w:rsid w:val="087F7830"/>
    <w:rsid w:val="08AD23CC"/>
    <w:rsid w:val="0A2F38BD"/>
    <w:rsid w:val="0ABD38A6"/>
    <w:rsid w:val="0B4E633E"/>
    <w:rsid w:val="0C77314D"/>
    <w:rsid w:val="0FDF4F86"/>
    <w:rsid w:val="11673BF8"/>
    <w:rsid w:val="123D6E4E"/>
    <w:rsid w:val="13664156"/>
    <w:rsid w:val="13BB074C"/>
    <w:rsid w:val="146A680C"/>
    <w:rsid w:val="14A45B6E"/>
    <w:rsid w:val="15FD1229"/>
    <w:rsid w:val="172C79DD"/>
    <w:rsid w:val="176319BB"/>
    <w:rsid w:val="177226B4"/>
    <w:rsid w:val="17F343BD"/>
    <w:rsid w:val="1A4203B2"/>
    <w:rsid w:val="1A4A008A"/>
    <w:rsid w:val="1BAF5A9F"/>
    <w:rsid w:val="1C8569EC"/>
    <w:rsid w:val="1DC45068"/>
    <w:rsid w:val="1DFD5D94"/>
    <w:rsid w:val="1E252011"/>
    <w:rsid w:val="1FE26EA3"/>
    <w:rsid w:val="1FE408B5"/>
    <w:rsid w:val="20C60D7A"/>
    <w:rsid w:val="21717942"/>
    <w:rsid w:val="22514E65"/>
    <w:rsid w:val="242238A2"/>
    <w:rsid w:val="24AA5092"/>
    <w:rsid w:val="25E818D8"/>
    <w:rsid w:val="2872433F"/>
    <w:rsid w:val="28BF0FAA"/>
    <w:rsid w:val="29196023"/>
    <w:rsid w:val="29B36ED8"/>
    <w:rsid w:val="2A470681"/>
    <w:rsid w:val="2D0C23EE"/>
    <w:rsid w:val="2F76751D"/>
    <w:rsid w:val="31051F4F"/>
    <w:rsid w:val="33D87365"/>
    <w:rsid w:val="346465D6"/>
    <w:rsid w:val="34A4057B"/>
    <w:rsid w:val="360123B1"/>
    <w:rsid w:val="367B7D75"/>
    <w:rsid w:val="38976F13"/>
    <w:rsid w:val="39437E52"/>
    <w:rsid w:val="3B38152F"/>
    <w:rsid w:val="3C0A3B2D"/>
    <w:rsid w:val="3C3438FD"/>
    <w:rsid w:val="3D2525BD"/>
    <w:rsid w:val="3EAB204B"/>
    <w:rsid w:val="41746924"/>
    <w:rsid w:val="42EE4B3C"/>
    <w:rsid w:val="43555FC7"/>
    <w:rsid w:val="43E53371"/>
    <w:rsid w:val="43F8120C"/>
    <w:rsid w:val="46396A82"/>
    <w:rsid w:val="48DC5748"/>
    <w:rsid w:val="498C67D5"/>
    <w:rsid w:val="4A3336F0"/>
    <w:rsid w:val="4D354A09"/>
    <w:rsid w:val="4F4C3BED"/>
    <w:rsid w:val="522F3228"/>
    <w:rsid w:val="52F3195C"/>
    <w:rsid w:val="53EE2842"/>
    <w:rsid w:val="56572C05"/>
    <w:rsid w:val="56DB4C25"/>
    <w:rsid w:val="599C5BFE"/>
    <w:rsid w:val="5A4C1BDF"/>
    <w:rsid w:val="5A7E764B"/>
    <w:rsid w:val="5F1B78C3"/>
    <w:rsid w:val="5F930E12"/>
    <w:rsid w:val="601B2F34"/>
    <w:rsid w:val="60B9161A"/>
    <w:rsid w:val="638D4CAF"/>
    <w:rsid w:val="64224369"/>
    <w:rsid w:val="652C1FEC"/>
    <w:rsid w:val="656D7047"/>
    <w:rsid w:val="6AD60D67"/>
    <w:rsid w:val="6B1747F7"/>
    <w:rsid w:val="6E48518E"/>
    <w:rsid w:val="6EFC46E7"/>
    <w:rsid w:val="6F140D60"/>
    <w:rsid w:val="6FBE58CA"/>
    <w:rsid w:val="72B422D2"/>
    <w:rsid w:val="73F62BFB"/>
    <w:rsid w:val="73F62F39"/>
    <w:rsid w:val="747D7D6D"/>
    <w:rsid w:val="76262220"/>
    <w:rsid w:val="78E870B9"/>
    <w:rsid w:val="7CB85D3E"/>
    <w:rsid w:val="7D6E5A3A"/>
    <w:rsid w:val="7DB17B4F"/>
    <w:rsid w:val="7DE64656"/>
    <w:rsid w:val="7E49784C"/>
    <w:rsid w:val="7E79575F"/>
    <w:rsid w:val="7F0572B4"/>
    <w:rsid w:val="7F430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 w:val="21"/>
      <w:szCs w:val="24"/>
    </w:rPr>
  </w:style>
  <w:style w:type="paragraph" w:styleId="3">
    <w:name w:val="annotation text"/>
    <w:basedOn w:val="1"/>
    <w:qFormat/>
    <w:uiPriority w:val="0"/>
    <w:pPr>
      <w:jc w:val="left"/>
    </w:pPr>
  </w:style>
  <w:style w:type="paragraph" w:styleId="4">
    <w:name w:val="List 2"/>
    <w:basedOn w:val="1"/>
    <w:qFormat/>
    <w:uiPriority w:val="0"/>
    <w:pPr>
      <w:ind w:left="100" w:leftChars="200" w:hanging="200" w:hangingChars="200"/>
    </w:pPr>
    <w:rPr>
      <w:rFonts w:eastAsia="宋体"/>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8018</Words>
  <Characters>11424</Characters>
  <Lines>42</Lines>
  <Paragraphs>11</Paragraphs>
  <TotalTime>0</TotalTime>
  <ScaleCrop>false</ScaleCrop>
  <LinksUpToDate>false</LinksUpToDate>
  <CharactersWithSpaces>11741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2022-06-14T10:31:00Z</dcterms:created>
  <dc:creator>Administrator</dc:creator>
  <cp:lastModifiedBy>yzchair</cp:lastModifiedBy>
  <cp:lastPrinted>2022-04-27T02:49:00Z</cp:lastPrinted>
  <dcterms:modified xsi:type="dcterms:W3CDTF">2023-11-20T14:39:10Z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488DD9A719114874BFFE5FF33B31435D</vt:lpwstr>
  </property>
  <property fmtid="{D5CDD505-2E9C-101B-9397-08002B2CF9AE}" pid="4" name="commondata">
    <vt:lpwstr>eyJoZGlkIjoiNGI3N2RkNTE1YmEwNjMyNzMxNjZhMmYxMmI3ZDlkY2UifQ==</vt:lpwstr>
  </property>
</Properties>
</file>