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jc w:val="center"/>
        <w:rPr>
          <w:rFonts w:ascii="方正小标宋简体" w:hAnsi="黑体" w:eastAsia="方正小标宋简体"/>
          <w:bCs/>
          <w:sz w:val="44"/>
          <w:szCs w:val="36"/>
        </w:rPr>
      </w:pPr>
      <w:r>
        <w:rPr>
          <w:rFonts w:hint="eastAsia" w:ascii="方正小标宋简体" w:hAnsi="黑体" w:eastAsia="方正小标宋简体"/>
          <w:bCs/>
          <w:sz w:val="44"/>
          <w:szCs w:val="36"/>
        </w:rPr>
        <w:t>2023级软件工程（专升本）.本科专业培养方案</w:t>
      </w:r>
    </w:p>
    <w:p>
      <w:pPr>
        <w:spacing w:line="520" w:lineRule="exact"/>
        <w:rPr>
          <w:rFonts w:ascii="仿宋_GB2312"/>
          <w:b/>
          <w:bCs/>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5"/>
        <w:gridCol w:w="4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专业名称：软件工程</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专业代码：080902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所属学科门类：计算机类</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授予学位：工学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学制：二年</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所属学院：</w:t>
            </w:r>
            <w:r>
              <w:rPr>
                <w:rFonts w:hint="eastAsia" w:ascii="仿宋_GB2312"/>
                <w:b/>
                <w:bCs/>
                <w:sz w:val="20"/>
                <w:szCs w:val="20"/>
              </w:rPr>
              <w:t>数学与数据科学学院（软件学院）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毕业最低总学分：85学分</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总学时：1102学时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专业负责人：林文如</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学院负责人：林文如</w:t>
            </w:r>
          </w:p>
        </w:tc>
      </w:tr>
    </w:tbl>
    <w:p>
      <w:pPr>
        <w:pStyle w:val="4"/>
        <w:spacing w:line="460" w:lineRule="exact"/>
        <w:ind w:left="98" w:leftChars="0" w:firstLine="406" w:firstLineChars="0"/>
        <w:rPr>
          <w:rFonts w:ascii="仿宋_GB2312" w:hAnsi="宋体" w:eastAsia="仿宋_GB2312"/>
          <w:sz w:val="28"/>
          <w:szCs w:val="28"/>
        </w:rPr>
      </w:pPr>
    </w:p>
    <w:p>
      <w:pPr>
        <w:pStyle w:val="4"/>
        <w:spacing w:line="460" w:lineRule="exact"/>
        <w:ind w:left="98" w:leftChars="0" w:firstLine="406" w:firstLineChars="0"/>
        <w:rPr>
          <w:rFonts w:ascii="仿宋_GB2312" w:hAnsi="宋体" w:eastAsia="仿宋_GB2312"/>
          <w:sz w:val="28"/>
          <w:szCs w:val="28"/>
        </w:rPr>
      </w:pPr>
    </w:p>
    <w:p>
      <w:pPr>
        <w:pStyle w:val="4"/>
        <w:spacing w:line="460" w:lineRule="exact"/>
        <w:ind w:left="0" w:leftChars="0" w:firstLine="552" w:firstLineChars="200"/>
        <w:rPr>
          <w:rFonts w:ascii="仿宋_GB2312"/>
          <w:sz w:val="28"/>
          <w:szCs w:val="28"/>
        </w:rPr>
      </w:pPr>
      <w:r>
        <w:rPr>
          <w:rFonts w:hint="eastAsia" w:ascii="黑体" w:hAnsi="宋体" w:eastAsia="黑体"/>
          <w:bCs/>
          <w:sz w:val="28"/>
          <w:szCs w:val="28"/>
        </w:rPr>
        <w:t>一、培养目标</w:t>
      </w:r>
    </w:p>
    <w:p>
      <w:pPr>
        <w:spacing w:line="460" w:lineRule="exact"/>
        <w:ind w:firstLine="552" w:firstLineChars="200"/>
        <w:rPr>
          <w:rFonts w:ascii="仿宋_GB2312"/>
          <w:sz w:val="28"/>
          <w:szCs w:val="28"/>
        </w:rPr>
      </w:pPr>
      <w:r>
        <w:rPr>
          <w:rFonts w:hint="eastAsia" w:ascii="仿宋_GB2312"/>
          <w:sz w:val="28"/>
          <w:szCs w:val="28"/>
        </w:rPr>
        <w:t>本专业以国民新经济发展对软件人才的需要为导向，培养德、智、体、美、劳等全面发展，践行社会主义核心价值观，具有良好的职业道德、人文素养和社会责任感；掌握数学、自然科学的基础知识，掌握计算系统与软件工程的基本理论、基本知识，了解和紧跟软件技术发展；具有较强的工程实践能力和软件系统开发管理能力，能够构造复杂软件系统；具有良好的沟通和团队协作能力，能够在跨文化背景下交流；具有计算思维能力，能够综合运用先进的软件工程方法、技术和工具解决复杂软件工程问题；能够在IT企业、各行各业的信息化部门从事复杂软件系统的分析、设计、开发、测试、部署和运维等工作，且具有终身学校能力、创新精神和国际视野的工程型、应用型高级专门人才。</w:t>
      </w:r>
    </w:p>
    <w:p>
      <w:pPr>
        <w:spacing w:line="460" w:lineRule="exact"/>
        <w:ind w:firstLine="552" w:firstLineChars="200"/>
        <w:rPr>
          <w:rFonts w:ascii="仿宋_GB2312"/>
          <w:sz w:val="28"/>
          <w:szCs w:val="28"/>
        </w:rPr>
      </w:pPr>
      <w:r>
        <w:rPr>
          <w:rFonts w:hint="eastAsia" w:ascii="仿宋_GB2312"/>
          <w:sz w:val="28"/>
          <w:szCs w:val="28"/>
        </w:rPr>
        <w:t>本专业培养目标可具体为以下5个方面：</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w:t>
      </w:r>
      <w:r>
        <w:rPr>
          <w:rFonts w:hint="eastAsia" w:ascii="仿宋_GB2312"/>
          <w:bCs/>
          <w:sz w:val="28"/>
          <w:szCs w:val="28"/>
          <w:lang w:eastAsia="zh-CN"/>
        </w:rPr>
        <w:t>——</w:t>
      </w:r>
      <w:r>
        <w:rPr>
          <w:rFonts w:hint="eastAsia" w:ascii="仿宋_GB2312"/>
          <w:bCs/>
          <w:sz w:val="28"/>
          <w:szCs w:val="28"/>
        </w:rPr>
        <w:t>专业技能：能够综合运用数学、自然科学、人文社科以及计算机与软件工程的知识，考虑社会、文化、法律、环境和可持续发展等多种非技术因素，灵活运用现代计算机与软件工具，具有创新精神和技术探究意识，能够解决软件工程领域的复杂工程问题，能够完成复杂软件系统的分析与设计、程序开发、软件测试、系统部署及运维等工作。</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w:t>
      </w:r>
      <w:r>
        <w:rPr>
          <w:rFonts w:hint="eastAsia" w:ascii="仿宋_GB2312"/>
          <w:bCs/>
          <w:sz w:val="28"/>
          <w:szCs w:val="28"/>
          <w:lang w:eastAsia="zh-CN"/>
        </w:rPr>
        <w:t>——</w:t>
      </w:r>
      <w:r>
        <w:rPr>
          <w:rFonts w:hint="eastAsia" w:ascii="仿宋_GB2312"/>
          <w:bCs/>
          <w:sz w:val="28"/>
          <w:szCs w:val="28"/>
        </w:rPr>
        <w:t>职业素质：具有良好的职业道德及社会责任感，在工作中理解并遵守职业规范，在工程实践中能坚持公众利益优先，热爱社会主义祖国。</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w:t>
      </w:r>
      <w:r>
        <w:rPr>
          <w:rFonts w:hint="eastAsia" w:ascii="仿宋_GB2312"/>
          <w:bCs/>
          <w:sz w:val="28"/>
          <w:szCs w:val="28"/>
          <w:lang w:eastAsia="zh-CN"/>
        </w:rPr>
        <w:t>——</w:t>
      </w:r>
      <w:r>
        <w:rPr>
          <w:rFonts w:hint="eastAsia" w:ascii="仿宋_GB2312"/>
          <w:bCs/>
          <w:sz w:val="28"/>
          <w:szCs w:val="28"/>
        </w:rPr>
        <w:t>团队与管理能力：具有良好的沟通和团队协作能力，能够在跨文化背景下就复杂软件工程问题与团队成员、同行及用户进行有效沟通和交流。</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w:t>
      </w:r>
      <w:r>
        <w:rPr>
          <w:rFonts w:hint="eastAsia" w:ascii="仿宋_GB2312"/>
          <w:bCs/>
          <w:sz w:val="28"/>
          <w:szCs w:val="28"/>
          <w:lang w:eastAsia="zh-CN"/>
        </w:rPr>
        <w:t>——</w:t>
      </w:r>
      <w:r>
        <w:rPr>
          <w:rFonts w:hint="eastAsia" w:ascii="仿宋_GB2312"/>
          <w:bCs/>
          <w:sz w:val="28"/>
          <w:szCs w:val="28"/>
        </w:rPr>
        <w:t>职业发展：具有软件系统开发管理能力，能够在软件工程及相关交叉学科背景下的团队中承担负责人的角色，运用项目管理方法和工具，组织软件工程项目的实施。</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目标5</w:t>
      </w:r>
      <w:r>
        <w:rPr>
          <w:rFonts w:hint="eastAsia" w:ascii="仿宋_GB2312"/>
          <w:bCs/>
          <w:sz w:val="28"/>
          <w:szCs w:val="28"/>
          <w:lang w:eastAsia="zh-CN"/>
        </w:rPr>
        <w:t>——</w:t>
      </w:r>
      <w:r>
        <w:rPr>
          <w:rFonts w:hint="eastAsia" w:ascii="仿宋_GB2312"/>
          <w:bCs/>
          <w:sz w:val="28"/>
          <w:szCs w:val="28"/>
        </w:rPr>
        <w:t>国际视野与终身学习：具有国际视野和终身学习能力, 对软件工程领域的前沿技术有深入了解，能够掌握国内外最新技术，并对行业技术发展趋势有前瞻性。</w:t>
      </w:r>
    </w:p>
    <w:p>
      <w:pPr>
        <w:pStyle w:val="4"/>
        <w:spacing w:line="460" w:lineRule="exact"/>
        <w:ind w:left="0" w:leftChars="0" w:firstLine="552" w:firstLineChars="200"/>
        <w:rPr>
          <w:rFonts w:ascii="仿宋_GB2312"/>
          <w:color w:val="0000FF"/>
          <w:sz w:val="28"/>
          <w:szCs w:val="28"/>
        </w:rPr>
      </w:pPr>
      <w:r>
        <w:rPr>
          <w:rFonts w:hint="eastAsia" w:ascii="黑体" w:hAnsi="黑体" w:eastAsia="黑体" w:cs="仿宋_GB2312"/>
          <w:sz w:val="28"/>
          <w:szCs w:val="28"/>
        </w:rPr>
        <w:t>二、毕业要求</w:t>
      </w:r>
    </w:p>
    <w:p>
      <w:pPr>
        <w:spacing w:line="460" w:lineRule="exact"/>
        <w:ind w:firstLine="552" w:firstLineChars="200"/>
        <w:rPr>
          <w:rFonts w:ascii="仿宋_GB2312"/>
          <w:color w:val="0000FF"/>
          <w:sz w:val="28"/>
          <w:szCs w:val="28"/>
        </w:rPr>
      </w:pPr>
      <w:r>
        <w:rPr>
          <w:rFonts w:hint="eastAsia" w:ascii="仿宋_GB2312"/>
          <w:sz w:val="28"/>
          <w:szCs w:val="28"/>
        </w:rPr>
        <w:t>根据工程教育认证毕业要求框架，结合本专业培养目标，通过对毕业要求12条的每一个毕业要求指标点进行分解，本专业学生在经过两年的系统学习后，应能达到以下12条毕业要求：</w:t>
      </w:r>
    </w:p>
    <w:p>
      <w:pPr>
        <w:spacing w:line="460" w:lineRule="exact"/>
        <w:ind w:firstLine="552" w:firstLineChars="200"/>
        <w:rPr>
          <w:sz w:val="28"/>
          <w:szCs w:val="28"/>
        </w:rPr>
      </w:pPr>
      <w:r>
        <w:rPr>
          <w:rFonts w:hint="eastAsia"/>
          <w:sz w:val="28"/>
          <w:szCs w:val="28"/>
        </w:rPr>
        <w:t>1.工程知识：能够将数学、自然科学、计算机科学及软件工程知识，用于解决计算模型建立与求解、软件系统推演与分析、软件解决方案设计与综合等复杂工程问题。</w:t>
      </w:r>
    </w:p>
    <w:p>
      <w:pPr>
        <w:spacing w:line="460" w:lineRule="exact"/>
        <w:ind w:firstLine="552" w:firstLineChars="200"/>
        <w:rPr>
          <w:sz w:val="28"/>
          <w:szCs w:val="28"/>
        </w:rPr>
      </w:pPr>
      <w:r>
        <w:rPr>
          <w:rFonts w:hint="eastAsia"/>
          <w:sz w:val="28"/>
          <w:szCs w:val="28"/>
        </w:rPr>
        <w:t>2.问题分析：能够应用数学、自然科学、计算机科学原理及软件工程方法与技术，正确表述软件工程应用领域的复杂工程问题，探究多种软件系统解决方案，并获得一个经济有效的解决方案。</w:t>
      </w:r>
    </w:p>
    <w:p>
      <w:pPr>
        <w:spacing w:line="460" w:lineRule="exact"/>
        <w:ind w:firstLine="552" w:firstLineChars="200"/>
        <w:rPr>
          <w:sz w:val="28"/>
          <w:szCs w:val="28"/>
        </w:rPr>
      </w:pPr>
      <w:r>
        <w:rPr>
          <w:rFonts w:hint="eastAsia"/>
          <w:sz w:val="28"/>
          <w:szCs w:val="28"/>
        </w:rPr>
        <w:t>3.设计/开发解决方案：能够针对软件系统需求规格说明的要求，设计软件系统的解决方案，构造软件系统，并能够在工程实践过程中体现创新意识，考虑社会、健康、安全、法律、文化以及环境等因素。</w:t>
      </w:r>
    </w:p>
    <w:p>
      <w:pPr>
        <w:spacing w:line="460" w:lineRule="exact"/>
        <w:ind w:firstLine="552" w:firstLineChars="200"/>
        <w:rPr>
          <w:sz w:val="28"/>
          <w:szCs w:val="28"/>
        </w:rPr>
      </w:pPr>
      <w:r>
        <w:rPr>
          <w:rFonts w:hint="eastAsia"/>
          <w:sz w:val="28"/>
          <w:szCs w:val="28"/>
        </w:rPr>
        <w:t>4.研究：能够基于计算机科学原理、软件工程技术文档和软件源代码，对复杂软件系统解决方案进行研究，得到关于软件系统解决方案有效性和质量的结论。</w:t>
      </w:r>
    </w:p>
    <w:p>
      <w:pPr>
        <w:spacing w:line="460" w:lineRule="exact"/>
        <w:ind w:firstLine="552" w:firstLineChars="200"/>
        <w:rPr>
          <w:sz w:val="28"/>
          <w:szCs w:val="28"/>
        </w:rPr>
      </w:pPr>
      <w:r>
        <w:rPr>
          <w:rFonts w:hint="eastAsia"/>
          <w:sz w:val="28"/>
          <w:szCs w:val="28"/>
        </w:rPr>
        <w:t>5.使用现代工具：能够针对复杂软件工程问题，选择、使用或开发恰当的计算机与软件工具，以及运用其它技术或资源，进行软件系统的分析、设计、开发、测试，提高软件工程实践的效率，并能够理解其局限性。</w:t>
      </w:r>
    </w:p>
    <w:p>
      <w:pPr>
        <w:spacing w:line="460" w:lineRule="exact"/>
        <w:ind w:firstLine="552" w:firstLineChars="200"/>
        <w:rPr>
          <w:sz w:val="28"/>
          <w:szCs w:val="28"/>
        </w:rPr>
      </w:pPr>
      <w:r>
        <w:rPr>
          <w:rFonts w:hint="eastAsia"/>
          <w:sz w:val="28"/>
          <w:szCs w:val="28"/>
        </w:rPr>
        <w:t>6.工程与社会：能够基于工程相关背景知识进行合理分析，评价软件工程解决方案和工程实践对社会、健康、安全、法律以及文化的影响，并理解应承担的责任。</w:t>
      </w:r>
    </w:p>
    <w:p>
      <w:pPr>
        <w:spacing w:line="460" w:lineRule="exact"/>
        <w:ind w:firstLine="552" w:firstLineChars="200"/>
        <w:rPr>
          <w:sz w:val="28"/>
          <w:szCs w:val="28"/>
        </w:rPr>
      </w:pPr>
      <w:r>
        <w:rPr>
          <w:rFonts w:hint="eastAsia"/>
          <w:sz w:val="28"/>
          <w:szCs w:val="28"/>
        </w:rPr>
        <w:t>7.环境和可持续发展：能够在软件工程实践的过程中理解和评价其对环境和可持续发展的影响。</w:t>
      </w:r>
    </w:p>
    <w:p>
      <w:pPr>
        <w:spacing w:line="460" w:lineRule="exact"/>
        <w:ind w:firstLine="552" w:firstLineChars="200"/>
        <w:rPr>
          <w:sz w:val="28"/>
          <w:szCs w:val="28"/>
        </w:rPr>
      </w:pPr>
      <w:r>
        <w:rPr>
          <w:rFonts w:hint="eastAsia"/>
          <w:sz w:val="28"/>
          <w:szCs w:val="28"/>
        </w:rPr>
        <w:t>8.职业规范：具有人文社会科学素养、社会责任感，能够在软件工程实践中理解并遵守职业道德和规范，履行责任。</w:t>
      </w:r>
    </w:p>
    <w:p>
      <w:pPr>
        <w:spacing w:line="460" w:lineRule="exact"/>
        <w:ind w:firstLine="552" w:firstLineChars="200"/>
        <w:rPr>
          <w:sz w:val="28"/>
          <w:szCs w:val="28"/>
        </w:rPr>
      </w:pPr>
      <w:r>
        <w:rPr>
          <w:rFonts w:hint="eastAsia"/>
          <w:sz w:val="28"/>
          <w:szCs w:val="28"/>
        </w:rPr>
        <w:t>9.个人和团队：能够在多学科背景下的团队中承担个体、团队成员以及负责人的角色。</w:t>
      </w:r>
    </w:p>
    <w:p>
      <w:pPr>
        <w:spacing w:line="460" w:lineRule="exact"/>
        <w:ind w:firstLine="552" w:firstLineChars="200"/>
        <w:rPr>
          <w:sz w:val="28"/>
          <w:szCs w:val="28"/>
        </w:rPr>
      </w:pPr>
      <w:r>
        <w:rPr>
          <w:rFonts w:hint="eastAsia"/>
          <w:sz w:val="28"/>
          <w:szCs w:val="28"/>
        </w:rPr>
        <w:t>10.沟通：能够就复杂工程问题与业界同行及社会公众进行有效沟通和交流，并具备一定的国际视野，能够在跨文化背景下进行沟通和交流。</w:t>
      </w:r>
    </w:p>
    <w:p>
      <w:pPr>
        <w:spacing w:line="460" w:lineRule="exact"/>
        <w:ind w:firstLine="552" w:firstLineChars="200"/>
        <w:rPr>
          <w:sz w:val="28"/>
          <w:szCs w:val="28"/>
        </w:rPr>
      </w:pPr>
      <w:r>
        <w:rPr>
          <w:rFonts w:hint="eastAsia"/>
          <w:sz w:val="28"/>
          <w:szCs w:val="28"/>
        </w:rPr>
        <w:t>11.项目管理：能在多学科环境中应用工程项目管理原理与经济决策方法，保证软件项目目标的实现。</w:t>
      </w:r>
    </w:p>
    <w:p>
      <w:pPr>
        <w:spacing w:line="460" w:lineRule="exact"/>
        <w:ind w:firstLine="552" w:firstLineChars="200"/>
        <w:rPr>
          <w:sz w:val="28"/>
          <w:szCs w:val="28"/>
        </w:rPr>
      </w:pPr>
      <w:r>
        <w:rPr>
          <w:rFonts w:hint="eastAsia"/>
          <w:sz w:val="28"/>
          <w:szCs w:val="28"/>
        </w:rPr>
        <w:t>12.终身学习：具有自主学习和终身学习的意识，有不断学习和适应发展的能力。</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7"/>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9"/>
        <w:gridCol w:w="1559"/>
        <w:gridCol w:w="1559"/>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毕业要求9</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毕业要求10</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毕业要求11</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毕业要求12</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7"/>
        <w:tblW w:w="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649"/>
        <w:gridCol w:w="649"/>
        <w:gridCol w:w="649"/>
        <w:gridCol w:w="649"/>
        <w:gridCol w:w="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7788" w:type="dxa"/>
            <w:gridSpan w:val="12"/>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9</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10</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计算机组成原理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数据库原理与应用</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数据结构与算法</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Web技术基础</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面向对象程序设计（Java)</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Java开发进阶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软件质量保证与测试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软件工程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Linux系统应用</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前端全栈开发技术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大型数据库</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 EE企业级开发</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计算机网络</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操作系统</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概率统计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三维建模与造型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面向对象程序设计（C++）</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用户界面设计与评测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工程经济学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深度学习与神经网络</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信息安全技术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移动应用开发</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default" w:ascii="Times New Roman" w:hAnsi="Times New Roman" w:eastAsia="仿宋_GB2312" w:cs="Times New Roman"/>
                <w:kern w:val="2"/>
                <w:sz w:val="32"/>
                <w:szCs w:val="32"/>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线性代数</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UV贴图技术</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Unreal engine虚拟现实开发</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软件体系结构</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算法分析与设计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bookmarkStart w:id="0" w:name="_GoBack" w:colFirst="1" w:colLast="7"/>
            <w:r>
              <w:rPr>
                <w:rFonts w:hint="eastAsia" w:ascii="仿宋_GB2312" w:hAnsi="仿宋_GB2312" w:cs="仿宋_GB2312"/>
                <w:color w:val="000000"/>
                <w:sz w:val="21"/>
                <w:szCs w:val="21"/>
              </w:rPr>
              <w:t>大数据平台技术</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python互联网数据获取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面向对象程序设计(Java)课程设计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大型数据库课程设计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企业实训（互联网应用开发）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SPEC计划</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bl>
    <w:p>
      <w:pPr>
        <w:pStyle w:val="4"/>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numberInDash"/>
          <w:cols w:space="720" w:num="1"/>
          <w:docGrid w:type="linesAndChars" w:linePitch="579" w:charSpace="-849"/>
        </w:sectPr>
      </w:pP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4"/>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主干学科：软件工程</w:t>
      </w:r>
    </w:p>
    <w:p>
      <w:pPr>
        <w:pStyle w:val="4"/>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核心课程：数据结构与算法、计算机组成原理、数据库原理与应用、离散数学、软件质量保证与测试、Linux系统应用、面向对象程序设计（Java)、软件工程</w:t>
      </w: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4"/>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面向对象程序设计(Java)课程设计、大型数据库课程设计、企业实训（互联网应用开发）、SPEC计划、毕业论文（设计）、毕业实习</w:t>
      </w:r>
    </w:p>
    <w:p>
      <w:pPr>
        <w:pStyle w:val="4"/>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Web技术基础、面向对象程序设计（Java)、数据库原理与应用、Java开发进阶、大型数据库、数据结构与算法、Linux系统应用、软件工程、软件质量保证与测试</w:t>
      </w: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12.9</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15.18%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222.0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11.76%</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4.71%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64.0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2.35%</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11.18%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38.4</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45.18%</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628.0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56.99%</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34.0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2.47%</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34.0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2.94%</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15.29%</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8.5</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19.41%</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4.71%</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474.0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46.6</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54.82%</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440.0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24.0</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34.0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2.1</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3.工程教育认证课程类别</w:t>
      </w:r>
    </w:p>
    <w:tbl>
      <w:tblPr>
        <w:tblStyle w:val="8"/>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79"/>
        <w:gridCol w:w="2304"/>
        <w:gridCol w:w="853"/>
        <w:gridCol w:w="214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469" w:type="dxa"/>
            <w:gridSpan w:val="3"/>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课程类别</w:t>
            </w:r>
          </w:p>
        </w:tc>
        <w:tc>
          <w:tcPr>
            <w:tcW w:w="821"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学分</w:t>
            </w:r>
          </w:p>
        </w:tc>
        <w:tc>
          <w:tcPr>
            <w:tcW w:w="2060"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占总学分比例（%）</w:t>
            </w:r>
          </w:p>
        </w:tc>
        <w:tc>
          <w:tcPr>
            <w:tcW w:w="691"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通识课</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17.65%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2.35%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其中：人文社会科学类</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7.0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8.24%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数学与自然科学类课程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3.53%</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3.53%</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restart"/>
            <w:textDirection w:val="tbLrV"/>
            <w:vAlign w:val="center"/>
          </w:tcPr>
          <w:p>
            <w:pPr>
              <w:pStyle w:val="2"/>
              <w:spacing w:after="0" w:line="240" w:lineRule="exact"/>
              <w:ind w:left="113" w:right="113"/>
              <w:jc w:val="center"/>
              <w:rPr>
                <w:rFonts w:ascii="仿宋_GB2312" w:hAnsi="仿宋_GB2312" w:eastAsia="仿宋_GB2312" w:cs="仿宋_GB2312"/>
                <w:spacing w:val="-14"/>
                <w:szCs w:val="21"/>
              </w:rPr>
            </w:pPr>
            <w:r>
              <w:rPr>
                <w:rFonts w:hint="eastAsia" w:ascii="仿宋_GB2312" w:hAnsi="仿宋_GB2312" w:eastAsia="仿宋_GB2312" w:cs="仿宋_GB2312"/>
                <w:kern w:val="0"/>
                <w:szCs w:val="21"/>
              </w:rPr>
              <w:t>工程与专业课程</w:t>
            </w: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2.35%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10.5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12.35%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25.5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30.00%</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8.0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9.41%</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4798" w:type="dxa"/>
            <w:gridSpan w:val="2"/>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 xml:space="preserve">                                 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54.12%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工程实践和毕业设计（论文）</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17.65%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17.65%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其他课程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4.71%</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bl>
    <w:p>
      <w:pPr>
        <w:pStyle w:val="4"/>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w:t>
            </w:r>
            <w:r>
              <w:rPr>
                <w:rFonts w:hint="eastAsia"/>
                <w:kern w:val="0"/>
                <w:sz w:val="18"/>
                <w:szCs w:val="18"/>
                <w:lang w:val="en-US" w:eastAsia="zh-CN"/>
              </w:rPr>
              <w:t>6</w:t>
            </w:r>
            <w:r>
              <w:rPr>
                <w:kern w:val="0"/>
                <w:sz w:val="18"/>
                <w:szCs w:val="18"/>
              </w:rPr>
              <w:t>1</w:t>
            </w:r>
          </w:p>
        </w:tc>
        <w:tc>
          <w:tcPr>
            <w:tcW w:w="2229" w:type="dxa"/>
            <w:tcMar>
              <w:left w:w="0" w:type="dxa"/>
              <w:right w:w="0" w:type="dxa"/>
            </w:tcMar>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形势与政策Ⅰ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r>
              <w:rPr>
                <w:rFonts w:hint="eastAsia" w:ascii="仿宋_GB2312" w:hAnsi="仿宋_GB2312" w:cs="仿宋_GB2312"/>
                <w:kern w:val="0"/>
                <w:sz w:val="18"/>
                <w:szCs w:val="18"/>
              </w:rPr>
              <w:t>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w:t>
            </w:r>
            <w:r>
              <w:rPr>
                <w:rFonts w:hint="eastAsia"/>
                <w:kern w:val="0"/>
                <w:sz w:val="18"/>
                <w:szCs w:val="18"/>
                <w:lang w:val="en-US" w:eastAsia="zh-CN"/>
              </w:rPr>
              <w:t>6</w:t>
            </w:r>
            <w:r>
              <w:rPr>
                <w:kern w:val="0"/>
                <w:sz w:val="18"/>
                <w:szCs w:val="18"/>
              </w:rPr>
              <w:t>2</w:t>
            </w:r>
          </w:p>
        </w:tc>
        <w:tc>
          <w:tcPr>
            <w:tcW w:w="2229" w:type="dxa"/>
            <w:tcMar>
              <w:left w:w="0" w:type="dxa"/>
              <w:right w:w="0" w:type="dxa"/>
            </w:tcMar>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形势与政策Ⅱ</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 xml:space="preserve">Situation and Policy </w:t>
            </w:r>
            <w:r>
              <w:rPr>
                <w:rFonts w:hint="eastAsia" w:ascii="仿宋_GB2312" w:hAnsi="仿宋_GB2312" w:cs="仿宋_GB2312"/>
                <w:kern w:val="0"/>
                <w:sz w:val="18"/>
                <w:szCs w:val="18"/>
              </w:rPr>
              <w:t>Ⅱ</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w:t>
            </w:r>
            <w:r>
              <w:rPr>
                <w:rFonts w:hint="eastAsia"/>
                <w:kern w:val="0"/>
                <w:sz w:val="18"/>
                <w:szCs w:val="18"/>
                <w:lang w:val="en-US" w:eastAsia="zh-CN"/>
              </w:rPr>
              <w:t>6</w:t>
            </w:r>
            <w:r>
              <w:rPr>
                <w:kern w:val="0"/>
                <w:sz w:val="18"/>
                <w:szCs w:val="18"/>
              </w:rPr>
              <w:t>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 xml:space="preserve">Situation and Policy </w:t>
            </w:r>
            <w:r>
              <w:rPr>
                <w:rFonts w:hint="eastAsia" w:ascii="仿宋_GB2312" w:hAnsi="仿宋_GB2312" w:cs="仿宋_GB2312"/>
                <w:kern w:val="0"/>
                <w:sz w:val="18"/>
                <w:szCs w:val="18"/>
              </w:rPr>
              <w:t>Ⅲ</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w:t>
            </w:r>
            <w:r>
              <w:rPr>
                <w:rFonts w:hint="eastAsia"/>
                <w:kern w:val="0"/>
                <w:sz w:val="18"/>
                <w:szCs w:val="18"/>
                <w:lang w:val="en-US" w:eastAsia="zh-CN"/>
              </w:rPr>
              <w:t>6</w:t>
            </w:r>
            <w:r>
              <w:rPr>
                <w:kern w:val="0"/>
                <w:sz w:val="18"/>
                <w:szCs w:val="18"/>
              </w:rPr>
              <w:t>4</w:t>
            </w:r>
          </w:p>
        </w:tc>
        <w:tc>
          <w:tcPr>
            <w:tcW w:w="2229" w:type="dxa"/>
            <w:tcMar>
              <w:left w:w="0" w:type="dxa"/>
              <w:right w:w="0" w:type="dxa"/>
            </w:tcMar>
            <w:vAlign w:val="center"/>
          </w:tcPr>
          <w:p>
            <w:pPr>
              <w:spacing w:line="240" w:lineRule="exact"/>
              <w:jc w:val="center"/>
              <w:rPr>
                <w:rFonts w:hint="eastAsia" w:ascii="仿宋_GB2312" w:hAnsi="仿宋_GB2312" w:cs="仿宋_GB2312"/>
                <w:kern w:val="0"/>
                <w:sz w:val="18"/>
                <w:szCs w:val="18"/>
              </w:rPr>
            </w:pPr>
            <w:r>
              <w:rPr>
                <w:rFonts w:hint="eastAsia" w:ascii="仿宋_GB2312" w:hAnsi="仿宋_GB2312" w:cs="仿宋_GB2312"/>
                <w:kern w:val="0"/>
                <w:sz w:val="18"/>
                <w:szCs w:val="18"/>
              </w:rPr>
              <w:t>形势与政策Ⅳ</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 xml:space="preserve">Situation and Policy </w:t>
            </w:r>
            <w:r>
              <w:rPr>
                <w:rFonts w:hint="eastAsia" w:ascii="仿宋_GB2312" w:hAnsi="仿宋_GB2312" w:cs="仿宋_GB2312"/>
                <w:kern w:val="0"/>
                <w:sz w:val="18"/>
                <w:szCs w:val="18"/>
              </w:rPr>
              <w:t>Ⅳ</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23</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21250071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计算机组成原理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Computer Composition Principle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21251090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数据库原理与应用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Database Principle and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21250251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数据结构与算法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Structure and Algorithms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12.5</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Web技术基础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Web Technology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31250231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面向对象程序设计（Java)</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programming (Java)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31250021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Java开发进阶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Advanced Java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31250001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软件质量保证与测试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Quality Assurance and Testing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31250340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软件工程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Engineering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Linux系统应用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Linux System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33250300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前端全栈开发技术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Front end full stack development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33250371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大型数据库</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Large-Scale Database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33250200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 EE企业级开发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JavaEE Enterprise-level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互联网应用开发</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172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11</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34090200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计算机网络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Computer Network</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34090310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操作系统</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 System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34250021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Probability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三维建模与造型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3D Modeling and Modeling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面向对象程序设计（C++）</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Programming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34250600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用户界面设计与评测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User Interface Design and Evaluation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工程经济学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Engineering Economics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34270440</w:t>
            </w:r>
          </w:p>
        </w:tc>
        <w:tc>
          <w:tcPr>
            <w:tcW w:w="2229" w:type="dxa"/>
            <w:tcMar>
              <w:left w:w="0" w:type="dxa"/>
              <w:right w:w="0" w:type="dxa"/>
            </w:tcMar>
            <w:vAlign w:val="center"/>
          </w:tcPr>
          <w:p>
            <w:pPr>
              <w:spacing w:line="240" w:lineRule="exact"/>
              <w:jc w:val="center"/>
              <w:rPr>
                <w:rFonts w:hint="eastAsia" w:eastAsia="宋体" w:cs="宋体"/>
                <w:kern w:val="0"/>
                <w:sz w:val="18"/>
                <w:szCs w:val="18"/>
              </w:rPr>
            </w:pPr>
            <w:r>
              <w:rPr>
                <w:rFonts w:hint="eastAsia" w:eastAsia="宋体" w:cs="宋体"/>
                <w:kern w:val="0"/>
                <w:sz w:val="18"/>
                <w:szCs w:val="18"/>
              </w:rPr>
              <w:tab/>
            </w:r>
            <w:r>
              <w:rPr>
                <w:rFonts w:hint="eastAsia" w:eastAsia="宋体" w:cs="宋体"/>
                <w:kern w:val="0"/>
                <w:sz w:val="18"/>
                <w:szCs w:val="18"/>
              </w:rPr>
              <w:t>企业资源规划ERP</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宋体"/>
                <w:kern w:val="0"/>
                <w:sz w:val="18"/>
                <w:szCs w:val="18"/>
                <w:lang w:val="en-US" w:eastAsia="zh-CN" w:bidi="ar-SA"/>
              </w:rPr>
              <w:t>Enterprise Resource Planning (ERP)</w:t>
            </w:r>
          </w:p>
        </w:tc>
        <w:tc>
          <w:tcPr>
            <w:tcW w:w="547" w:type="dxa"/>
            <w:tcMar>
              <w:left w:w="0" w:type="dxa"/>
              <w:right w:w="0" w:type="dxa"/>
            </w:tcMar>
            <w:vAlign w:val="center"/>
          </w:tcPr>
          <w:p>
            <w:pPr>
              <w:widowControl/>
              <w:spacing w:line="240" w:lineRule="exact"/>
              <w:jc w:val="center"/>
              <w:rPr>
                <w:rFonts w:hint="eastAsia" w:ascii="Times New Roman" w:hAnsi="Times New Roman" w:eastAsia="仿宋_GB2312" w:cs="Times New Roman"/>
                <w:kern w:val="0"/>
                <w:sz w:val="18"/>
                <w:szCs w:val="18"/>
                <w:lang w:val="en-US" w:eastAsia="zh-CN" w:bidi="ar-SA"/>
              </w:rPr>
            </w:pPr>
            <w:r>
              <w:rPr>
                <w:rFonts w:hint="eastAsia"/>
                <w:kern w:val="0"/>
                <w:sz w:val="18"/>
                <w:szCs w:val="18"/>
                <w:lang w:val="en-US" w:eastAsia="zh-CN"/>
              </w:rPr>
              <w:t>2</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2.0</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32</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16</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hint="eastAsia" w:ascii="Times New Roman" w:hAnsi="Times New Roman" w:eastAsia="仿宋_GB2312" w:cs="Times New Roman"/>
                <w:kern w:val="0"/>
                <w:sz w:val="18"/>
                <w:szCs w:val="18"/>
                <w:lang w:val="en-US" w:eastAsia="zh-CN" w:bidi="ar-SA"/>
              </w:rPr>
            </w:pPr>
            <w:r>
              <w:rPr>
                <w:rFonts w:hint="eastAsia"/>
                <w:kern w:val="0"/>
                <w:sz w:val="18"/>
                <w:szCs w:val="18"/>
                <w:lang w:val="en-US" w:eastAsia="zh-CN"/>
              </w:rPr>
              <w:t>2</w:t>
            </w:r>
          </w:p>
        </w:tc>
        <w:tc>
          <w:tcPr>
            <w:tcW w:w="551" w:type="dxa"/>
            <w:tcMar>
              <w:left w:w="0" w:type="dxa"/>
              <w:right w:w="0" w:type="dxa"/>
            </w:tcMar>
            <w:vAlign w:val="center"/>
          </w:tcPr>
          <w:p>
            <w:pPr>
              <w:widowControl/>
              <w:spacing w:line="240" w:lineRule="exact"/>
              <w:jc w:val="center"/>
              <w:rPr>
                <w:rFonts w:hint="eastAsia" w:ascii="Times New Roman" w:hAnsi="Times New Roman" w:eastAsia="仿宋_GB2312" w:cs="Times New Roman"/>
                <w:kern w:val="0"/>
                <w:sz w:val="18"/>
                <w:szCs w:val="18"/>
                <w:lang w:val="en-US" w:eastAsia="zh-CN" w:bidi="ar-SA"/>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34271280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深度学习与神经网络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Deep Learning And Neural Networks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信息安全技术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Information security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移动应用开发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Mobile application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线性代数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Linear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34250121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UV贴图技术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UV mapping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Unreal engine虚拟现实开发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Unreal engine virtual reality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软件体系结构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architecture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算法分析与设计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Design and Analysis of Algorithms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大数据平台技术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Platform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34251070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python互联网数据获取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Python Internet Data Acquisition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64.5</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1102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598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440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34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76.5</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spacing w:after="0" w:line="420" w:lineRule="exact"/>
        <w:ind w:hanging="8"/>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spacing w:after="0" w:line="420" w:lineRule="exact"/>
        <w:ind w:left="14" w:firstLine="451" w:firstLineChars="188"/>
        <w:rPr>
          <w:rFonts w:ascii="仿宋_GB2312" w:hAnsi="仿宋_GB2312" w:eastAsia="仿宋_GB2312" w:cs="仿宋_GB2312"/>
          <w:sz w:val="24"/>
        </w:rPr>
      </w:pPr>
      <w:r>
        <w:rPr>
          <w:rFonts w:hint="eastAsia" w:ascii="仿宋_GB2312" w:hAnsi="仿宋_GB2312" w:eastAsia="仿宋_GB2312" w:cs="仿宋_GB2312"/>
          <w:sz w:val="24"/>
        </w:rPr>
        <w:t>1.本专业适合学生考取职业资格证书有：Web前端开发（高级）、JAVA应用开发职业技能等级证书（中级）、全国计算机软件职业资格（水平）考试</w:t>
      </w:r>
    </w:p>
    <w:p>
      <w:pPr>
        <w:pStyle w:val="2"/>
        <w:spacing w:after="0" w:line="420" w:lineRule="exact"/>
        <w:ind w:left="14" w:firstLine="451" w:firstLineChars="188"/>
        <w:rPr>
          <w:rFonts w:ascii="仿宋_GB2312" w:hAnsi="仿宋_GB2312" w:eastAsia="仿宋_GB2312" w:cs="仿宋_GB2312"/>
          <w:sz w:val="24"/>
        </w:rPr>
      </w:pPr>
      <w:r>
        <w:rPr>
          <w:rFonts w:hint="eastAsia" w:ascii="仿宋_GB2312" w:eastAsia="仿宋_GB2312"/>
          <w:sz w:val="24"/>
        </w:rPr>
        <w:t>2.校企合作课程4门12.0学分</w:t>
      </w:r>
      <w:r>
        <w:rPr>
          <w:rFonts w:hint="eastAsia" w:ascii="仿宋_GB2312" w:eastAsia="仿宋_GB2312"/>
          <w:sz w:val="24"/>
          <w:lang w:eastAsia="zh-CN"/>
        </w:rPr>
        <w:t>（</w:t>
      </w:r>
      <w:r>
        <w:rPr>
          <w:rFonts w:hint="eastAsia" w:ascii="仿宋_GB2312" w:eastAsia="仿宋_GB2312"/>
          <w:sz w:val="24"/>
          <w:lang w:val="en-US" w:eastAsia="zh-CN"/>
        </w:rPr>
        <w:t>包含1门集中实践课）</w:t>
      </w:r>
      <w:r>
        <w:rPr>
          <w:rFonts w:hint="eastAsia" w:ascii="仿宋_GB2312" w:eastAsia="仿宋_GB2312"/>
          <w:sz w:val="24"/>
        </w:rPr>
        <w:t>，专创融合课程3门10.0学分。</w:t>
      </w:r>
    </w:p>
    <w:p>
      <w:pPr>
        <w:pStyle w:val="4"/>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41251361</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面向对象程序设计(Java)课程设计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Object-oriented Programming (Java)Design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41250190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大型数据库课程设计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Large-Scale Database Curriculum 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2</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41250050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企业实训（互联网应用开发）</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Enterprise Practical Training (Internet Application Development)</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3.0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6</w:t>
            </w:r>
          </w:p>
        </w:tc>
        <w:tc>
          <w:tcPr>
            <w:tcW w:w="1134" w:type="dxa"/>
            <w:tcMar>
              <w:left w:w="0" w:type="dxa"/>
              <w:right w:w="0" w:type="dxa"/>
            </w:tcMar>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校企合作课,专业实习</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kern w:val="0"/>
                <w:sz w:val="18"/>
                <w:szCs w:val="18"/>
                <w:lang w:val="en-US" w:eastAsia="zh-CN"/>
              </w:rPr>
              <w:t>生产性课程</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41250100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SPEC计划</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SPEC Program</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书证融通课</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4</w:t>
            </w:r>
            <w:r>
              <w:rPr>
                <w:rFonts w:hint="eastAsia" w:eastAsia="仿宋_GB2312"/>
                <w:kern w:val="0"/>
                <w:sz w:val="18"/>
                <w:szCs w:val="18"/>
                <w:lang w:val="en-US" w:eastAsia="zh-CN"/>
              </w:rPr>
              <w:t>+寒</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hint="default" w:eastAsia="仿宋_GB2312"/>
                <w:kern w:val="0"/>
                <w:sz w:val="18"/>
                <w:szCs w:val="18"/>
                <w:lang w:val="en-US" w:eastAsia="zh-CN"/>
              </w:rPr>
            </w:pPr>
            <w:r>
              <w:rPr>
                <w:rFonts w:eastAsia="仿宋_GB2312"/>
                <w:kern w:val="0"/>
                <w:sz w:val="18"/>
                <w:szCs w:val="18"/>
              </w:rPr>
              <w:t>8</w:t>
            </w:r>
            <w:r>
              <w:rPr>
                <w:rFonts w:hint="eastAsia" w:eastAsia="仿宋_GB2312"/>
                <w:kern w:val="0"/>
                <w:sz w:val="18"/>
                <w:szCs w:val="18"/>
                <w:lang w:val="en-US" w:eastAsia="zh-CN"/>
              </w:rPr>
              <w:t>+2</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7.0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16.5</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31</w:t>
            </w:r>
            <w:r>
              <w:rPr>
                <w:rFonts w:hint="eastAsia" w:ascii="仿宋_GB2312" w:hAnsi="仿宋_GB2312" w:eastAsia="仿宋_GB2312" w:cs="仿宋_GB2312"/>
                <w:kern w:val="0"/>
                <w:sz w:val="18"/>
                <w:szCs w:val="18"/>
                <w:lang w:val="en-US" w:eastAsia="zh-CN"/>
              </w:rPr>
              <w:t>+2</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spacing w:line="420" w:lineRule="exact"/>
        <w:rPr>
          <w:rFonts w:ascii="Times New Roman" w:hAnsi="Times New Roman"/>
          <w:sz w:val="24"/>
        </w:rPr>
      </w:pPr>
      <w:r>
        <w:rPr>
          <w:rFonts w:ascii="Times New Roman" w:hAnsi="Times New Roman"/>
          <w:sz w:val="24"/>
        </w:rPr>
        <w:t>备注：</w:t>
      </w:r>
    </w:p>
    <w:p>
      <w:pPr>
        <w:spacing w:line="460" w:lineRule="exact"/>
        <w:ind w:firstLine="480" w:firstLineChars="200"/>
        <w:rPr>
          <w:rFonts w:hint="eastAsia" w:eastAsia="黑体"/>
          <w:bCs/>
          <w:color w:val="000000"/>
          <w:sz w:val="28"/>
          <w:szCs w:val="28"/>
        </w:rPr>
      </w:pPr>
      <w:r>
        <w:rPr>
          <w:rFonts w:hint="eastAsia"/>
          <w:sz w:val="24"/>
          <w:lang w:val="en-US" w:eastAsia="zh-CN"/>
        </w:rPr>
        <w:t>1</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毕业</w:t>
      </w:r>
      <w:r>
        <w:rPr>
          <w:rFonts w:ascii="Times New Roman" w:hAnsi="Times New Roman"/>
          <w:sz w:val="24"/>
        </w:rPr>
        <w:t>实习》</w:t>
      </w:r>
      <w:r>
        <w:rPr>
          <w:rFonts w:hint="eastAsia" w:ascii="Times New Roman" w:hAnsi="Times New Roman"/>
          <w:sz w:val="24"/>
        </w:rPr>
        <w:t>计划</w:t>
      </w:r>
      <w:r>
        <w:rPr>
          <w:rFonts w:ascii="Times New Roman" w:hAnsi="Times New Roman"/>
          <w:sz w:val="24"/>
        </w:rPr>
        <w:t>安排</w:t>
      </w:r>
      <w:r>
        <w:rPr>
          <w:rFonts w:hint="eastAsia"/>
          <w:sz w:val="24"/>
          <w:lang w:val="en-US" w:eastAsia="zh-CN"/>
        </w:rPr>
        <w:t>10</w:t>
      </w:r>
      <w:r>
        <w:rPr>
          <w:rFonts w:hint="eastAsia" w:ascii="Times New Roman" w:hAnsi="Times New Roman"/>
          <w:sz w:val="24"/>
        </w:rPr>
        <w:t>周，其中寒假安排2周，第8学期安排</w:t>
      </w:r>
      <w:r>
        <w:rPr>
          <w:rFonts w:hint="eastAsia"/>
          <w:sz w:val="24"/>
          <w:lang w:val="en-US" w:eastAsia="zh-CN"/>
        </w:rPr>
        <w:t>8</w:t>
      </w:r>
      <w:r>
        <w:rPr>
          <w:rFonts w:hint="eastAsia" w:ascii="Times New Roman" w:hAnsi="Times New Roman"/>
          <w:sz w:val="24"/>
        </w:rPr>
        <w:t>周。</w:t>
      </w: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7"/>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51600022</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p>
            <w:pPr>
              <w:spacing w:line="220" w:lineRule="exact"/>
              <w:jc w:val="center"/>
              <w:rPr>
                <w:rFonts w:ascii="仿宋_GB2312" w:hAnsi="仿宋_GB2312" w:cs="仿宋_GB2312"/>
                <w:color w:val="000000"/>
                <w:sz w:val="21"/>
                <w:szCs w:val="21"/>
              </w:rPr>
            </w:pPr>
            <w:r>
              <w:rPr>
                <w:color w:val="000000"/>
                <w:kern w:val="0"/>
                <w:sz w:val="21"/>
                <w:szCs w:val="21"/>
              </w:rPr>
              <w:t>Moral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参照《闽江学院“第二课堂成绩单”制度实施细则（202</w:t>
            </w:r>
            <w:r>
              <w:rPr>
                <w:rFonts w:hint="eastAsia" w:ascii="仿宋_GB2312" w:hAnsi="仿宋_GB2312" w:cs="仿宋_GB2312"/>
                <w:color w:val="000000"/>
                <w:sz w:val="21"/>
                <w:szCs w:val="21"/>
                <w:lang w:val="en-US" w:eastAsia="zh-CN"/>
              </w:rPr>
              <w:t>2</w:t>
            </w:r>
            <w:r>
              <w:rPr>
                <w:rFonts w:hint="eastAsia" w:ascii="仿宋_GB2312" w:hAnsi="仿宋_GB2312" w:cs="仿宋_GB2312"/>
                <w:color w:val="00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51600080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51600110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劳动教育</w:t>
            </w:r>
          </w:p>
          <w:p>
            <w:pPr>
              <w:spacing w:line="220" w:lineRule="exact"/>
              <w:jc w:val="center"/>
              <w:rPr>
                <w:rFonts w:ascii="仿宋_GB2312" w:hAnsi="仿宋_GB2312" w:cs="仿宋_GB2312"/>
                <w:color w:val="000000"/>
                <w:kern w:val="0"/>
                <w:sz w:val="21"/>
                <w:szCs w:val="21"/>
              </w:rPr>
            </w:pPr>
            <w:r>
              <w:rPr>
                <w:color w:val="000000"/>
                <w:kern w:val="0"/>
                <w:sz w:val="21"/>
                <w:szCs w:val="21"/>
              </w:rPr>
              <w:t> 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4</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E3AF95-130C-4648-B9B0-52DE8F248153}"/>
  </w:font>
  <w:font w:name="黑体">
    <w:panose1 w:val="02010609060101010101"/>
    <w:charset w:val="86"/>
    <w:family w:val="auto"/>
    <w:pitch w:val="default"/>
    <w:sig w:usb0="800002BF" w:usb1="38CF7CFA" w:usb2="00000016" w:usb3="00000000" w:csb0="00040001" w:csb1="00000000"/>
    <w:embedRegular r:id="rId2" w:fontKey="{D28D81BC-0403-4D9F-B967-71035BECA0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0B31F8F-599D-4B4C-825C-181AF2990EC4}"/>
  </w:font>
  <w:font w:name="仿宋_GB2312">
    <w:panose1 w:val="02010609030101010101"/>
    <w:charset w:val="86"/>
    <w:family w:val="modern"/>
    <w:pitch w:val="default"/>
    <w:sig w:usb0="00000001" w:usb1="080E0000" w:usb2="00000000" w:usb3="00000000" w:csb0="00040000" w:csb1="00000000"/>
    <w:embedRegular r:id="rId4" w:fontKey="{4DA24BCC-DB8E-41BF-A089-51EDB5944EE1}"/>
  </w:font>
  <w:font w:name="方正小标宋简体">
    <w:panose1 w:val="02000000000000000000"/>
    <w:charset w:val="86"/>
    <w:family w:val="auto"/>
    <w:pitch w:val="default"/>
    <w:sig w:usb0="00000001" w:usb1="08000000" w:usb2="00000000" w:usb3="00000000" w:csb0="00040000" w:csb1="00000000"/>
    <w:embedRegular r:id="rId5" w:fontKey="{DF2466EA-E0D6-4CDA-B22D-D5AED97B6334}"/>
  </w:font>
  <w:font w:name="楷体">
    <w:panose1 w:val="02010609060101010101"/>
    <w:charset w:val="86"/>
    <w:family w:val="modern"/>
    <w:pitch w:val="default"/>
    <w:sig w:usb0="800002BF" w:usb1="38CF7CFA" w:usb2="00000016" w:usb3="00000000" w:csb0="00040001" w:csb1="00000000"/>
    <w:embedRegular r:id="rId6" w:fontKey="{96CE1B71-34C4-43D7-A4D5-6AE8E26BC64B}"/>
  </w:font>
  <w:font w:name="仿宋">
    <w:panose1 w:val="02010609060101010101"/>
    <w:charset w:val="86"/>
    <w:family w:val="auto"/>
    <w:pitch w:val="default"/>
    <w:sig w:usb0="800002BF" w:usb1="38CF7CFA" w:usb2="00000016" w:usb3="00000000" w:csb0="00040001" w:csb1="00000000"/>
    <w:embedRegular r:id="rId7" w:fontKey="{A308CAE9-D0CD-49D5-8537-2B9B15C5D21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zU2NTdjMmE5YmE1YmM3ZmVjNTA5YTYwYmQzYzQifQ=="/>
  </w:docVars>
  <w:rsids>
    <w:rsidRoot w:val="599C5BFE"/>
    <w:rsid w:val="00027519"/>
    <w:rsid w:val="007A2979"/>
    <w:rsid w:val="00B607D5"/>
    <w:rsid w:val="00DA6783"/>
    <w:rsid w:val="00E93078"/>
    <w:rsid w:val="010779AC"/>
    <w:rsid w:val="048718F6"/>
    <w:rsid w:val="04E3121C"/>
    <w:rsid w:val="04FE71B8"/>
    <w:rsid w:val="05FF6B8B"/>
    <w:rsid w:val="072D29C9"/>
    <w:rsid w:val="07C5376A"/>
    <w:rsid w:val="087F7830"/>
    <w:rsid w:val="08AD23CC"/>
    <w:rsid w:val="0A2F38BD"/>
    <w:rsid w:val="0ABD38A6"/>
    <w:rsid w:val="0B4E633E"/>
    <w:rsid w:val="0C77314D"/>
    <w:rsid w:val="0FDF4F86"/>
    <w:rsid w:val="10863144"/>
    <w:rsid w:val="11673BF8"/>
    <w:rsid w:val="123D6E4E"/>
    <w:rsid w:val="13664156"/>
    <w:rsid w:val="13BB074C"/>
    <w:rsid w:val="146A680C"/>
    <w:rsid w:val="14A45B6E"/>
    <w:rsid w:val="15FD1229"/>
    <w:rsid w:val="172C79DD"/>
    <w:rsid w:val="176319BB"/>
    <w:rsid w:val="17F343BD"/>
    <w:rsid w:val="1A4203B2"/>
    <w:rsid w:val="1A4A008A"/>
    <w:rsid w:val="1C8569EC"/>
    <w:rsid w:val="1DC45068"/>
    <w:rsid w:val="1E252011"/>
    <w:rsid w:val="1FE26EA3"/>
    <w:rsid w:val="1FE408B5"/>
    <w:rsid w:val="207C40A6"/>
    <w:rsid w:val="20C60D7A"/>
    <w:rsid w:val="21717942"/>
    <w:rsid w:val="22514E65"/>
    <w:rsid w:val="242238A2"/>
    <w:rsid w:val="24AA5092"/>
    <w:rsid w:val="258D39BD"/>
    <w:rsid w:val="25E818D8"/>
    <w:rsid w:val="2872433F"/>
    <w:rsid w:val="28BF0FAA"/>
    <w:rsid w:val="29196023"/>
    <w:rsid w:val="294A57BC"/>
    <w:rsid w:val="29B36ED8"/>
    <w:rsid w:val="2A4568EE"/>
    <w:rsid w:val="2A470681"/>
    <w:rsid w:val="2D0C23EE"/>
    <w:rsid w:val="2F76751D"/>
    <w:rsid w:val="31051F4F"/>
    <w:rsid w:val="33D87365"/>
    <w:rsid w:val="346465D6"/>
    <w:rsid w:val="34A4057B"/>
    <w:rsid w:val="360123B1"/>
    <w:rsid w:val="367B7D75"/>
    <w:rsid w:val="38976F13"/>
    <w:rsid w:val="39437E52"/>
    <w:rsid w:val="3B38152F"/>
    <w:rsid w:val="3C3438FD"/>
    <w:rsid w:val="3D2525BD"/>
    <w:rsid w:val="3EAB204B"/>
    <w:rsid w:val="41746924"/>
    <w:rsid w:val="42EE4B3C"/>
    <w:rsid w:val="43555FC7"/>
    <w:rsid w:val="43E53371"/>
    <w:rsid w:val="43F8120C"/>
    <w:rsid w:val="457B4D23"/>
    <w:rsid w:val="45E05112"/>
    <w:rsid w:val="46396A82"/>
    <w:rsid w:val="48DC5748"/>
    <w:rsid w:val="498C67D5"/>
    <w:rsid w:val="4A3336F0"/>
    <w:rsid w:val="4C2C5CD4"/>
    <w:rsid w:val="4D354A09"/>
    <w:rsid w:val="4F4C3BED"/>
    <w:rsid w:val="522F3228"/>
    <w:rsid w:val="52F3195C"/>
    <w:rsid w:val="53EE2842"/>
    <w:rsid w:val="56572C05"/>
    <w:rsid w:val="56DB4C25"/>
    <w:rsid w:val="599C5BFE"/>
    <w:rsid w:val="5A4C1BDF"/>
    <w:rsid w:val="5A7E764B"/>
    <w:rsid w:val="5BDA3B02"/>
    <w:rsid w:val="5F1B78C3"/>
    <w:rsid w:val="5F930E12"/>
    <w:rsid w:val="601B2F34"/>
    <w:rsid w:val="60B9161A"/>
    <w:rsid w:val="638D4CAF"/>
    <w:rsid w:val="64224369"/>
    <w:rsid w:val="652C1FEC"/>
    <w:rsid w:val="656D7047"/>
    <w:rsid w:val="677E132B"/>
    <w:rsid w:val="6AD60D67"/>
    <w:rsid w:val="6B1747F7"/>
    <w:rsid w:val="6E48518E"/>
    <w:rsid w:val="6EFC46E7"/>
    <w:rsid w:val="6F140D60"/>
    <w:rsid w:val="6FBE58CA"/>
    <w:rsid w:val="72B422D2"/>
    <w:rsid w:val="73F62F39"/>
    <w:rsid w:val="747D7D6D"/>
    <w:rsid w:val="76262220"/>
    <w:rsid w:val="78C06711"/>
    <w:rsid w:val="78E870B9"/>
    <w:rsid w:val="7ADF6323"/>
    <w:rsid w:val="7CB85D3E"/>
    <w:rsid w:val="7D6E5A3A"/>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annotation text"/>
    <w:basedOn w:val="1"/>
    <w:qFormat/>
    <w:uiPriority w:val="0"/>
    <w:pPr>
      <w:jc w:val="left"/>
    </w:pPr>
  </w:style>
  <w:style w:type="paragraph" w:styleId="4">
    <w:name w:val="List 2"/>
    <w:basedOn w:val="1"/>
    <w:qFormat/>
    <w:uiPriority w:val="0"/>
    <w:pPr>
      <w:ind w:left="100" w:leftChars="200" w:hanging="200" w:hangingChars="200"/>
    </w:pPr>
    <w:rPr>
      <w:rFonts w:eastAsia="宋体"/>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4725</Words>
  <Characters>7010</Characters>
  <Lines>42</Lines>
  <Paragraphs>11</Paragraphs>
  <TotalTime>0</TotalTime>
  <ScaleCrop>false</ScaleCrop>
  <LinksUpToDate>false</LinksUpToDate>
  <CharactersWithSpaces>7202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2022-06-14T10:31:00Z</dcterms:created>
  <dc:creator>Administrator</dc:creator>
  <cp:lastModifiedBy>yzchair</cp:lastModifiedBy>
  <cp:lastPrinted>2022-04-27T02:49:00Z</cp:lastPrinted>
  <dcterms:modified xsi:type="dcterms:W3CDTF">2023-11-20T14:44:56Z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488DD9A719114874BFFE5FF33B31435D</vt:lpwstr>
  </property>
  <property fmtid="{D5CDD505-2E9C-101B-9397-08002B2CF9AE}" pid="4" name="commondata">
    <vt:lpwstr>eyJoZGlkIjoiNGI3N2RkNTE1YmEwNjMyNzMxNjZhMmYxMmI3ZDlkY2UifQ==</vt:lpwstr>
  </property>
</Properties>
</file>